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3, 2021</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Kaltura,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0"/>
              </w:rPr>
              <w:t>001-40644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20-8128326</w:t>
            </w:r>
          </w:p>
        </w:tc>
      </w:tr>
      <w:tr>
        <w:trPr>
          <w:trHeight w:val="216"/>
        </w:trPr>
        <w:tc>
          <w:tcPr>
            <w:tcW w:w="35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(State or other jurisdiction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7"/>
              </w:rPr>
              <w:t>(Commission</w:t>
            </w:r>
          </w:p>
        </w:tc>
        <w:tc>
          <w:tcPr>
            <w:tcW w:w="3080" w:type="dxa"/>
            <w:vAlign w:val="bottom"/>
          </w:tcPr>
          <w:p>
            <w:pPr>
              <w:jc w:val="center"/>
              <w:ind w:right="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5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of incorporation)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4"/>
              </w:rPr>
              <w:t>File Number)</w:t>
            </w:r>
          </w:p>
        </w:tc>
        <w:tc>
          <w:tcPr>
            <w:tcW w:w="308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9"/>
              </w:rPr>
              <w:t>250 Park Avenue South</w:t>
            </w:r>
          </w:p>
        </w:tc>
        <w:tc>
          <w:tcPr>
            <w:tcW w:w="308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1"/>
              </w:rPr>
              <w:t>10th Floor</w:t>
            </w:r>
          </w:p>
        </w:tc>
        <w:tc>
          <w:tcPr>
            <w:tcW w:w="30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2"/>
              </w:rPr>
              <w:t>New York, New York 10003</w:t>
            </w:r>
          </w:p>
        </w:tc>
        <w:tc>
          <w:tcPr>
            <w:tcW w:w="308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46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3080" w:type="dxa"/>
            <w:vAlign w:val="bottom"/>
          </w:tcPr>
          <w:p>
            <w:pPr>
              <w:spacing w:after="0"/>
              <w:rPr>
                <w:sz w:val="20"/>
                <w:szCs w:val="20"/>
                <w:color w:val="auto"/>
              </w:rPr>
            </w:pPr>
          </w:p>
        </w:tc>
      </w:tr>
      <w:tr>
        <w:trPr>
          <w:trHeight w:val="468"/>
        </w:trPr>
        <w:tc>
          <w:tcPr>
            <w:tcW w:w="3560" w:type="dxa"/>
            <w:vAlign w:val="bottom"/>
          </w:tcPr>
          <w:p>
            <w:pPr>
              <w:spacing w:after="0"/>
              <w:rPr>
                <w:sz w:val="24"/>
                <w:szCs w:val="24"/>
                <w:color w:val="auto"/>
              </w:rPr>
            </w:pPr>
          </w:p>
        </w:tc>
        <w:tc>
          <w:tcPr>
            <w:tcW w:w="38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0"/>
              </w:rPr>
              <w:t>(646) 290-5445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34"/>
        </w:trPr>
        <w:tc>
          <w:tcPr>
            <w:tcW w:w="3560" w:type="dxa"/>
            <w:vAlign w:val="bottom"/>
          </w:tcPr>
          <w:p>
            <w:pPr>
              <w:spacing w:after="0"/>
              <w:rPr>
                <w:sz w:val="20"/>
                <w:szCs w:val="20"/>
                <w:color w:val="auto"/>
              </w:rPr>
            </w:pPr>
          </w:p>
        </w:tc>
        <w:tc>
          <w:tcPr>
            <w:tcW w:w="46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080" w:type="dxa"/>
            <w:vAlign w:val="bottom"/>
          </w:tcPr>
          <w:p>
            <w:pPr>
              <w:spacing w:after="0"/>
              <w:rPr>
                <w:sz w:val="20"/>
                <w:szCs w:val="20"/>
                <w:color w:val="auto"/>
              </w:rPr>
            </w:pPr>
          </w:p>
        </w:tc>
      </w:tr>
      <w:tr>
        <w:trPr>
          <w:trHeight w:val="468"/>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2"/>
              </w:rPr>
              <w:t>Not Applicable</w:t>
            </w:r>
          </w:p>
        </w:tc>
        <w:tc>
          <w:tcPr>
            <w:tcW w:w="3080" w:type="dxa"/>
            <w:vAlign w:val="bottom"/>
          </w:tcPr>
          <w:p>
            <w:pPr>
              <w:spacing w:after="0"/>
              <w:rPr>
                <w:sz w:val="24"/>
                <w:szCs w:val="24"/>
                <w:color w:val="auto"/>
              </w:rPr>
            </w:pPr>
          </w:p>
        </w:tc>
      </w:tr>
      <w:tr>
        <w:trPr>
          <w:trHeight w:val="234"/>
        </w:trPr>
        <w:tc>
          <w:tcPr>
            <w:tcW w:w="8160" w:type="dxa"/>
            <w:vAlign w:val="bottom"/>
            <w:gridSpan w:val="6"/>
          </w:tcPr>
          <w:p>
            <w:pPr>
              <w:jc w:val="center"/>
              <w:ind w:left="29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3080" w:type="dxa"/>
            <w:vAlign w:val="bottom"/>
          </w:tcPr>
          <w:p>
            <w:pPr>
              <w:spacing w:after="0"/>
              <w:rPr>
                <w:sz w:val="20"/>
                <w:szCs w:val="20"/>
                <w:color w:val="auto"/>
              </w:rPr>
            </w:pPr>
          </w:p>
        </w:tc>
      </w:tr>
      <w:tr>
        <w:trPr>
          <w:trHeight w:val="486"/>
        </w:trPr>
        <w:tc>
          <w:tcPr>
            <w:tcW w:w="81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80" w:type="dxa"/>
            <w:vAlign w:val="bottom"/>
          </w:tcPr>
          <w:p>
            <w:pPr>
              <w:spacing w:after="0"/>
              <w:rPr>
                <w:sz w:val="24"/>
                <w:szCs w:val="24"/>
                <w:color w:val="auto"/>
              </w:rPr>
            </w:pPr>
          </w:p>
        </w:tc>
      </w:tr>
      <w:tr>
        <w:trPr>
          <w:trHeight w:val="468"/>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3"/>
              </w:rPr>
              <w:t>Trading</w:t>
            </w:r>
          </w:p>
        </w:tc>
        <w:tc>
          <w:tcPr>
            <w:tcW w:w="3080" w:type="dxa"/>
            <w:vAlign w:val="bottom"/>
          </w:tcPr>
          <w:p>
            <w:pPr>
              <w:jc w:val="center"/>
              <w:ind w:right="53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356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7"/>
              </w:rPr>
              <w:t>Symbol(s)</w:t>
            </w:r>
          </w:p>
        </w:tc>
        <w:tc>
          <w:tcPr>
            <w:tcW w:w="308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5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KLTR</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3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1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03, 2021, Kaltura, Inc. (the Company) issued a press release announcing its financial results for the three and nine months ended September 30, 2021. A copy of the press release is furnished as Exhibit 99.1 to this Current Report on Form 8-K.</w:t>
      </w:r>
    </w:p>
    <w:p>
      <w:pPr>
        <w:spacing w:after="0" w:line="22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(the Securities Act), or the Exchange Act, regardless of any general incorporation language in such filings, unless expressly incorporated by specific reference in such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9"/>
              </w:rPr>
              <w:t>Exhibit No.</w:t>
            </w:r>
          </w:p>
        </w:tc>
        <w:tc>
          <w:tcPr>
            <w:tcW w:w="10280" w:type="dxa"/>
            <w:vAlign w:val="bottom"/>
            <w:gridSpan w:val="3"/>
          </w:tcPr>
          <w:p>
            <w:pPr>
              <w:ind w:left="60"/>
              <w:spacing w:after="0"/>
              <w:rPr>
                <w:sz w:val="20"/>
                <w:szCs w:val="20"/>
                <w:color w:val="auto"/>
              </w:rPr>
            </w:pPr>
            <w:r>
              <w:rPr>
                <w:rFonts w:ascii="Arial" w:cs="Arial" w:eastAsia="Arial" w:hAnsi="Arial"/>
                <w:sz w:val="18"/>
                <w:szCs w:val="18"/>
                <w:color w:val="auto"/>
              </w:rPr>
              <w:t>Description</w:t>
            </w:r>
          </w:p>
        </w:tc>
      </w:tr>
      <w:tr>
        <w:trPr>
          <w:trHeight w:val="190"/>
        </w:trPr>
        <w:tc>
          <w:tcPr>
            <w:tcW w:w="96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280" w:type="dxa"/>
            <w:vAlign w:val="bottom"/>
            <w:gridSpan w:val="3"/>
          </w:tcPr>
          <w:p>
            <w:pPr>
              <w:ind w:left="60"/>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03,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53"/>
        </w:trPr>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KALTURA, INC.</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Name:Yaron Garmazi</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wp:posOffset>
            </wp:positionV>
            <wp:extent cx="224599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Kaltura Announces Financial Results for Third Quarter 2021</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NEW YORK, November 3, 2021-- Kaltura, Inc. (“Kaltura” or the “Company”), the video experience cloud, today announced reported financial results for the third quarter ended September 30, 2021, as well as outlook for the fourth quarter and full year 2021.</w:t>
      </w:r>
    </w:p>
    <w:p>
      <w:pPr>
        <w:spacing w:after="0" w:line="2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excited to report earnings for the second time as a public company, with total revenue, subscription revenue, and Annualized Recurring Revenue each growing at or above 40% year-over-year. In a world reshaped by the pandemic, video technology and experiences have become mission critical, and Kaltura is uniquely positioned to harness this opportunity as a long-time leader in the Enterprise Video Content Management market and a strong recent entrant into the Meeting Solutions and Virtual Event spaces,” said Ron Yekutiel, Co-founder, Chairman and Chief Executive Officer of Kaltura. “We are especially excited to see the strong demand for our newer products that power ‘meetings with purpose’ – Virtual Events, Webinars, and Virtual Classrooms. Our ability to power tightly integrated and easily customized on-demand, live, and real-time video experiences at great scale and quality make us ideally suited to address specialized meeting experiences and virtual events for enterprises.”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Highlights:</w:t>
      </w:r>
    </w:p>
    <w:p>
      <w:pPr>
        <w:spacing w:after="0" w:line="279" w:lineRule="exact"/>
        <w:rPr>
          <w:sz w:val="20"/>
          <w:szCs w:val="20"/>
          <w:color w:val="auto"/>
        </w:rPr>
      </w:pPr>
    </w:p>
    <w:p>
      <w:pPr>
        <w:ind w:left="860" w:hanging="488"/>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for the third quarter of 2021 was $43.0 million, an increase of 40% compared to $30.6 million for the third quarter of 2020.</w:t>
      </w:r>
    </w:p>
    <w:p>
      <w:pPr>
        <w:spacing w:after="0" w:line="290" w:lineRule="exact"/>
        <w:rPr>
          <w:rFonts w:ascii="Arial" w:cs="Arial" w:eastAsia="Arial" w:hAnsi="Arial"/>
          <w:sz w:val="17"/>
          <w:szCs w:val="17"/>
          <w:color w:val="auto"/>
        </w:rPr>
      </w:pPr>
    </w:p>
    <w:p>
      <w:pPr>
        <w:ind w:left="860" w:right="2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revenue </w:t>
      </w:r>
      <w:r>
        <w:rPr>
          <w:rFonts w:ascii="Arial" w:cs="Arial" w:eastAsia="Arial" w:hAnsi="Arial"/>
          <w:sz w:val="18"/>
          <w:szCs w:val="18"/>
          <w:color w:val="auto"/>
        </w:rPr>
        <w:t>for the third quarter of 2021 was $37.7 million, an increase of 40% compared to $26.9 million for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Annualized Recurring Revenue (ARR) </w:t>
      </w:r>
      <w:r>
        <w:rPr>
          <w:rFonts w:ascii="Arial" w:cs="Arial" w:eastAsia="Arial" w:hAnsi="Arial"/>
          <w:sz w:val="18"/>
          <w:szCs w:val="18"/>
          <w:color w:val="auto"/>
        </w:rPr>
        <w:t>for the third quarter of 2021 was $151.7 million, an increase of 41% compared to $107.3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2020.</w:t>
      </w:r>
    </w:p>
    <w:p>
      <w:pPr>
        <w:spacing w:after="0" w:line="215" w:lineRule="exact"/>
        <w:rPr>
          <w:rFonts w:ascii="Arial" w:cs="Arial" w:eastAsia="Arial" w:hAnsi="Arial"/>
          <w:sz w:val="18"/>
          <w:szCs w:val="18"/>
          <w:color w:val="auto"/>
        </w:rPr>
      </w:pPr>
    </w:p>
    <w:p>
      <w:pPr>
        <w:jc w:val="both"/>
        <w:ind w:left="860" w:hanging="488"/>
        <w:spacing w:after="0" w:line="25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third quarter of 2021 was $27.8 million, representing a gross margin of 65%, compared to a gross profit of $18.1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gross margin of 59% for the third quarter of 2020. Gross profit for the third quarter of 2021 includes the impact of $0.2 million in stock-based compensation expenses, $0.1 million in amortization of acquired intangible assets, and $0.2 million in depreciation expenses. Gross profit for the third quarter of 2020 includes the impact of $0.1 million in stock-based compensation expenses, $0.2 million in amortization of acquired intangible assets, and $0.7 million in depreciation expenses.</w:t>
      </w:r>
    </w:p>
    <w:p>
      <w:pPr>
        <w:spacing w:after="0" w:line="237" w:lineRule="exact"/>
        <w:rPr>
          <w:rFonts w:ascii="Arial" w:cs="Arial" w:eastAsia="Arial" w:hAnsi="Arial"/>
          <w:sz w:val="18"/>
          <w:szCs w:val="18"/>
          <w:color w:val="auto"/>
        </w:rPr>
      </w:pPr>
    </w:p>
    <w:p>
      <w:pPr>
        <w:jc w:val="both"/>
        <w:ind w:left="860" w:hanging="488"/>
        <w:spacing w:after="0" w:line="277"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was $5.9 million for the third quarter of 2021, compared to a loss of $4.4 million for the third quarter of 2020. Operating loss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third quarter of 2021 includes the impact of $3.7 million in stock-based compensation expenses, $0.2 million in amortization of acquired intangible assets, $0.4 million in depreciation expenses, and $0.8 million in gain on sale of property and equipment. Operating loss for the third quarter of 2020 includes the impact of $1.0 million in stock-based compensation expenses, $0.3 million in amortization of acquired intangible assets, $0.8 million in depreciation expenses, and $4.0 million in abandonment of data center equipment costs.</w:t>
      </w:r>
    </w:p>
    <w:p>
      <w:pPr>
        <w:spacing w:after="0" w:line="221" w:lineRule="exact"/>
        <w:rPr>
          <w:rFonts w:ascii="Arial" w:cs="Arial" w:eastAsia="Arial" w:hAnsi="Arial"/>
          <w:sz w:val="17"/>
          <w:szCs w:val="17"/>
          <w:color w:val="auto"/>
        </w:rPr>
      </w:pPr>
    </w:p>
    <w:p>
      <w:pPr>
        <w:jc w:val="both"/>
        <w:ind w:left="860" w:hanging="488"/>
        <w:spacing w:after="0" w:line="274"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was $25.2 million or $0.26 per diluted share for the third quarter of 2021, compared to a net loss of $6.4 million, or $0.38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for the third quarter of 2020. Net loss for the third quarter of 2021 includes the impact of $3.7 million in stock-based compensation expenses, $0.2 million in amortization of acquired intangible assets, $0.4 million in depreciation expenses, $0.8 million in gain on sale of property and equipment and $16.8 million in expense from remeasurement of warrants to fair value. Net loss for the third quarter of 2020 includes the impact of $1.0 million in stock-based compensation expenses, $0.3 million in amortization of acquired intangible assets, $0.8 million in depreciation expenses, and $4.0 million in abandonment of data center equipment costs.</w:t>
      </w:r>
    </w:p>
    <w:p>
      <w:pPr>
        <w:spacing w:after="0" w:line="227" w:lineRule="exact"/>
        <w:rPr>
          <w:rFonts w:ascii="Arial" w:cs="Arial" w:eastAsia="Arial" w:hAnsi="Arial"/>
          <w:sz w:val="17"/>
          <w:szCs w:val="17"/>
          <w:color w:val="auto"/>
        </w:rPr>
      </w:pPr>
    </w:p>
    <w:p>
      <w:pPr>
        <w:jc w:val="both"/>
        <w:ind w:left="860" w:hanging="488"/>
        <w:spacing w:after="0" w:line="289"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was ($2.3) million for the third quarter of 2021, compared to adjusted EBITDA of $1.7 million for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2020. Adjusted EBITDA excludes stock-based compensation expenses, the amortization of acquired intangible assets, depreciation expenses, abandonment costs, gain on sale of property and equipment, financial expenses, and the provision for income taxes.</w:t>
      </w:r>
    </w:p>
    <w:p>
      <w:pPr>
        <w:spacing w:after="0" w:line="211" w:lineRule="exact"/>
        <w:rPr>
          <w:rFonts w:ascii="Arial" w:cs="Arial" w:eastAsia="Arial" w:hAnsi="Arial"/>
          <w:sz w:val="17"/>
          <w:szCs w:val="17"/>
          <w:color w:val="auto"/>
        </w:rPr>
      </w:pPr>
    </w:p>
    <w:p>
      <w:pPr>
        <w:ind w:left="860" w:right="2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cash used in operating activities was </w:t>
      </w:r>
      <w:r>
        <w:rPr>
          <w:rFonts w:ascii="Arial" w:cs="Arial" w:eastAsia="Arial" w:hAnsi="Arial"/>
          <w:sz w:val="18"/>
          <w:szCs w:val="18"/>
          <w:color w:val="auto"/>
        </w:rPr>
        <w:t>($5.7) million for the third quarter of 2021, compared to $4.9 million provided by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in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2021 Business Highlights:</w:t>
      </w:r>
    </w:p>
    <w:p>
      <w:pPr>
        <w:spacing w:after="0" w:line="283" w:lineRule="exact"/>
        <w:rPr>
          <w:sz w:val="20"/>
          <w:szCs w:val="20"/>
          <w:color w:val="auto"/>
        </w:rPr>
      </w:pPr>
    </w:p>
    <w:p>
      <w:pPr>
        <w:ind w:left="860" w:hanging="488"/>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Another robust quarter of bookings</w:t>
      </w:r>
    </w:p>
    <w:p>
      <w:pPr>
        <w:spacing w:after="0" w:line="23" w:lineRule="exact"/>
        <w:rPr>
          <w:rFonts w:ascii="Arial" w:cs="Arial" w:eastAsia="Arial" w:hAnsi="Arial"/>
          <w:sz w:val="18"/>
          <w:szCs w:val="18"/>
          <w:color w:val="auto"/>
        </w:rPr>
      </w:pPr>
    </w:p>
    <w:p>
      <w:pPr>
        <w:ind w:left="860" w:hanging="488"/>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Forecasted average annual salesforce productivity is tracking on plan</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Dollar Retention Rate of 117%, up from 111% in the third quarter of 2020</w:t>
      </w:r>
    </w:p>
    <w:p>
      <w:pPr>
        <w:spacing w:after="0" w:line="9" w:lineRule="exact"/>
        <w:rPr>
          <w:rFonts w:ascii="Arial" w:cs="Arial" w:eastAsia="Arial" w:hAnsi="Arial"/>
          <w:sz w:val="18"/>
          <w:szCs w:val="18"/>
          <w:color w:val="auto"/>
        </w:rPr>
      </w:pPr>
    </w:p>
    <w:p>
      <w:pPr>
        <w:jc w:val="both"/>
        <w:ind w:left="860" w:hanging="488"/>
        <w:spacing w:after="0" w:line="20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Kaltura positioned as a Visionary in 2021 Gartner® Magic Quadrant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Meeting Solutions, ranking 4th in the ‘External Presentation’ Use Case, and 5th in the ‘Learning and Training’ and ‘Webinar’ Use Cases in the Gartner 2021 Critical Capabilities for Meeting Solutions companion report</w:t>
      </w:r>
    </w:p>
    <w:p>
      <w:pPr>
        <w:ind w:left="860" w:hanging="488"/>
        <w:spacing w:after="0" w:line="26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product development work towards launch of our next generation virtual event platform and towards launching low-touch and self-serve products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2021, Kaltura currently expects:</w:t>
      </w:r>
    </w:p>
    <w:p>
      <w:pPr>
        <w:spacing w:after="0" w:line="275" w:lineRule="exact"/>
        <w:rPr>
          <w:sz w:val="20"/>
          <w:szCs w:val="20"/>
          <w:color w:val="auto"/>
        </w:rPr>
      </w:pPr>
    </w:p>
    <w:p>
      <w:pPr>
        <w:ind w:left="860" w:hanging="488"/>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 be in the range of $41.2 million to $43.2 million</w:t>
      </w:r>
    </w:p>
    <w:p>
      <w:pPr>
        <w:spacing w:after="0" w:line="27" w:lineRule="exact"/>
        <w:rPr>
          <w:rFonts w:ascii="Arial" w:cs="Arial" w:eastAsia="Arial" w:hAnsi="Arial"/>
          <w:sz w:val="18"/>
          <w:szCs w:val="18"/>
          <w:color w:val="auto"/>
        </w:rPr>
      </w:pPr>
    </w:p>
    <w:p>
      <w:pPr>
        <w:ind w:left="860" w:hanging="488"/>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to be negative in the range of $9.5 million to $7.5 million</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Weighted average basic and diluted shares </w:t>
      </w:r>
      <w:r>
        <w:rPr>
          <w:rFonts w:ascii="Arial" w:cs="Arial" w:eastAsia="Arial" w:hAnsi="Arial"/>
          <w:sz w:val="18"/>
          <w:szCs w:val="18"/>
          <w:color w:val="auto"/>
        </w:rPr>
        <w:t>to be approximately 126.7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ending December 31, 2021, Kaltura currently expects:</w:t>
      </w:r>
    </w:p>
    <w:p>
      <w:pPr>
        <w:spacing w:after="0" w:line="275" w:lineRule="exact"/>
        <w:rPr>
          <w:sz w:val="20"/>
          <w:szCs w:val="20"/>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 be in the range of $163.5 million to $165.5 million</w:t>
      </w:r>
    </w:p>
    <w:p>
      <w:pPr>
        <w:spacing w:after="0" w:line="27"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to be negative in the range of $14.1 million to $12.1 million</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Weighted average basic and diluted shares </w:t>
      </w:r>
      <w:r>
        <w:rPr>
          <w:rFonts w:ascii="Arial" w:cs="Arial" w:eastAsia="Arial" w:hAnsi="Arial"/>
          <w:sz w:val="18"/>
          <w:szCs w:val="18"/>
          <w:color w:val="auto"/>
        </w:rPr>
        <w:t>to be approximately 70.7 million</w:t>
      </w:r>
    </w:p>
    <w:p>
      <w:pPr>
        <w:spacing w:after="0" w:line="2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guidance provided above are forward-looking statements and actual results may differ materially. Refer to “Forward-Looking Statements” below for information on the factors that could cause our actual results to differ materially from these forward-looking statements. Kaltura has not provided a quantitative reconciliation of forecasted Adjusted EBITDA to forecasted GAAP net income (loss) within this press release because the Company is unable, without making unreasonable efforts, to calculate certain reconciling items with confidence. These items include, but are not limited to, stock-based compensation expenses, financial expenses (income), net, and provision for income tax. These items, which could materially affect the computation of forward-looking GAAP net income (loss), are inherently uncertain and depend on various factors, some of which are outside of the Company’s control. The guidance above is based on current expectations relating to COVID-19 and its variants.</w:t>
      </w:r>
    </w:p>
    <w:p>
      <w:pPr>
        <w:spacing w:after="0" w:line="2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Adjusted EBITDA is a non-GAAP financial measure. Additional information on Kaltura’s reported results, including a reconciliation of the non-GAAP financial measure to their most comparable GAAP measures, is included in the financial tables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Kaltura will host a conference call today on November 3, 2021 to review its third quarter 2021 financial results and to discuss its financial outlook.</w:t>
      </w: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Time:</w:t>
            </w:r>
          </w:p>
        </w:tc>
        <w:tc>
          <w:tcPr>
            <w:tcW w:w="1460" w:type="dxa"/>
            <w:vAlign w:val="bottom"/>
          </w:tcPr>
          <w:p>
            <w:pPr>
              <w:ind w:left="180"/>
              <w:spacing w:after="0"/>
              <w:rPr>
                <w:sz w:val="20"/>
                <w:szCs w:val="20"/>
                <w:color w:val="auto"/>
              </w:rPr>
            </w:pPr>
            <w:r>
              <w:rPr>
                <w:rFonts w:ascii="Arial" w:cs="Arial" w:eastAsia="Arial" w:hAnsi="Arial"/>
                <w:sz w:val="18"/>
                <w:szCs w:val="18"/>
                <w:color w:val="auto"/>
              </w:rPr>
              <w:t>8:00 a.m. ET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7"/>
              </w:rPr>
              <w:t>United States/Canada Toll</w:t>
            </w:r>
          </w:p>
        </w:tc>
        <w:tc>
          <w:tcPr>
            <w:tcW w:w="1460" w:type="dxa"/>
            <w:vAlign w:val="bottom"/>
            <w:vMerge w:val="restart"/>
          </w:tcPr>
          <w:p>
            <w:pPr>
              <w:ind w:left="180"/>
              <w:spacing w:after="0"/>
              <w:rPr>
                <w:sz w:val="20"/>
                <w:szCs w:val="20"/>
                <w:color w:val="auto"/>
              </w:rPr>
            </w:pPr>
            <w:r>
              <w:rPr>
                <w:rFonts w:ascii="Arial" w:cs="Arial" w:eastAsia="Arial" w:hAnsi="Arial"/>
                <w:sz w:val="18"/>
                <w:szCs w:val="18"/>
                <w:color w:val="auto"/>
              </w:rPr>
              <w:t>855-327-6838</w:t>
            </w:r>
          </w:p>
        </w:tc>
        <w:tc>
          <w:tcPr>
            <w:tcW w:w="0" w:type="dxa"/>
            <w:vAlign w:val="bottom"/>
          </w:tcPr>
          <w:p>
            <w:pPr>
              <w:spacing w:after="0"/>
              <w:rPr>
                <w:sz w:val="1"/>
                <w:szCs w:val="1"/>
                <w:color w:val="auto"/>
              </w:rPr>
            </w:pPr>
          </w:p>
        </w:tc>
      </w:tr>
      <w:tr>
        <w:trPr>
          <w:trHeight w:val="122"/>
        </w:trPr>
        <w:tc>
          <w:tcPr>
            <w:tcW w:w="2060" w:type="dxa"/>
            <w:vAlign w:val="bottom"/>
            <w:vMerge w:val="restart"/>
          </w:tcPr>
          <w:p>
            <w:pPr>
              <w:spacing w:after="0"/>
              <w:rPr>
                <w:sz w:val="20"/>
                <w:szCs w:val="20"/>
                <w:color w:val="auto"/>
              </w:rPr>
            </w:pPr>
            <w:r>
              <w:rPr>
                <w:rFonts w:ascii="Arial" w:cs="Arial" w:eastAsia="Arial" w:hAnsi="Arial"/>
                <w:sz w:val="18"/>
                <w:szCs w:val="18"/>
                <w:color w:val="auto"/>
              </w:rPr>
              <w:t>Free:</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International Toll:</w:t>
            </w:r>
          </w:p>
        </w:tc>
        <w:tc>
          <w:tcPr>
            <w:tcW w:w="1460" w:type="dxa"/>
            <w:vAlign w:val="bottom"/>
          </w:tcPr>
          <w:p>
            <w:pPr>
              <w:ind w:left="180"/>
              <w:spacing w:after="0"/>
              <w:rPr>
                <w:sz w:val="20"/>
                <w:szCs w:val="20"/>
                <w:color w:val="auto"/>
              </w:rPr>
            </w:pPr>
            <w:r>
              <w:rPr>
                <w:rFonts w:ascii="Arial" w:cs="Arial" w:eastAsia="Arial" w:hAnsi="Arial"/>
                <w:sz w:val="18"/>
                <w:szCs w:val="18"/>
                <w:color w:val="auto"/>
                <w:w w:val="90"/>
              </w:rPr>
              <w:t>+1-604-235-2082</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Conference ID:</w:t>
            </w:r>
          </w:p>
        </w:tc>
        <w:tc>
          <w:tcPr>
            <w:tcW w:w="1460" w:type="dxa"/>
            <w:vAlign w:val="bottom"/>
          </w:tcPr>
          <w:p>
            <w:pPr>
              <w:ind w:left="180"/>
              <w:spacing w:after="0"/>
              <w:rPr>
                <w:sz w:val="20"/>
                <w:szCs w:val="20"/>
                <w:color w:val="auto"/>
              </w:rPr>
            </w:pPr>
            <w:r>
              <w:rPr>
                <w:rFonts w:ascii="Arial" w:cs="Arial" w:eastAsia="Arial" w:hAnsi="Arial"/>
                <w:sz w:val="18"/>
                <w:szCs w:val="18"/>
                <w:color w:val="auto"/>
              </w:rPr>
              <w:t>10016963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live webcast will also be available in the Investor Relations section of Kaltura’s website at: </w:t>
      </w:r>
      <w:r>
        <w:rPr>
          <w:rFonts w:ascii="Arial" w:cs="Arial" w:eastAsia="Arial" w:hAnsi="Arial"/>
          <w:sz w:val="17"/>
          <w:szCs w:val="17"/>
          <w:u w:val="single" w:color="auto"/>
          <w:color w:val="auto"/>
        </w:rPr>
        <w:t>https://investors.kaltura.com/news-and-events/events</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replay of the webcast will be available in the Investor Relations section of the company’s web site approximately two hours after the conclusion of the call and remain available for approximately 30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Kaltura</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Kaltura’s mission is to power any video experience for any organization. Our Video Experience Cloud offers live, real-time, and on-demand video products for enterprises of all industries, as well as specialized industry solutions, currently for educational institutions and for media and telecom companies. Underlying our products and solutions is a broad set of Media Services that are also used by other cloud platforms and companies to power video experiences and workflows for their own products. Kaltura’s Video Experience Cloud is used by leading brands reaching millions of users, at home, at school and at work, for communication, collaboration, training, marketing, sales, customer care, teaching, learning, virtual events, and entertainment experiences.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Kaltura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Yaron Garmazi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IR@Kaltura.com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Sapphire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Erica Mannion and Michael Funari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+1 617 542 6180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IR@Kaltura.com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Kaltura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pr.team@kaltura.com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Headline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Raanan Loew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raanan@headline.media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+1 347 897 9276</w:t>
      </w:r>
    </w:p>
    <w:p>
      <w:pPr>
        <w:spacing w:after="0" w:line="26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GARTNER and MAGIC QUADRANT are registered trademarks and service marks of Gartner, Inc. and/or its affiliates in the U.S. and internationally and are used herein with permission. All rights reserved.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&amp; Advisory organization and should not be construed as statements of fact. Gartner disclaims all warranties, expressed or implied, with respect to this research, including any warranties of merchantability or fitness for a particular purpose.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our future financial and operating performance, including our guidance; our business strategy, plans and objectives for future operations; capital expenditures; industry and market conditions and trends; and general business conditions, including as a result of the pandemic related to COVID-19 and its variants.</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Any forward-looking statements contained herein are based on our historical performance and our current plans, estimates and expectations and are not a representation that such plans, estimates, or expectations will be achieved. These forward-looking statements represent our expectations as of the date of this press release. Subsequent events may cause these expectations to change, and we disclaim any obligation to update the forward-looking statements in the future, except as required by law. These forward-looking statements are subject to known and unknown risks and uncertainties that may cause actual results to differ materially from our current expectations. Important factors that could cause actual results to differ materially from those anticipated in our forward-looking statements include, but are not limited to, our ability to manage and sustain our rapid growth; our ability to achieve and maintain profitability; the ongoing pandemic related to COVID-19 and its variants; the evolution of the markets for our offerings; the quarterly fluctuation in our results of operations; our ability to retain our customers; our ability to keep pace with technological and competitive developments; our ability to maintain the interoperability of our offerings across devices, operating systems and third-party applications; our reliance on third parties; our ability to retain our key personnel; risks related to our international operations; and the other risks under the caption “Risk Factors” in our Quarterly Report on Form 10-Q for the quarterly period ended June 30, 2021, filed with the Securities and Exchange Commission (“SEC”), as such factors may be updated from time to time in our other filings with the SEC, which are accessible on the SEC’s website at www.sec.gov and the Investor Relations page of our website at investors.kaltura.com.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our results determined in accordance with GAAP, we believe that Adjusted EBITDA is useful in evaluating the performance of our business. We define EBITDA as net profit (loss) before interest expense, net, provision for income taxes and depreciation and amortization expense. Adjusted EBITDA is defined as EBITDA (as defined above), adjusted for the impact of certain non-cash and other items that we believe are not indicative of our core operating performance, such as non-cash stock-based compensation expenses, abandonment costs, gain from sale of property and equipment, and other operating expenses. Adjusted EBITDA is a supplemental measure of our performance, is not defined by or presented in accordance with GAAP, and should not be considered in isolation or as an alternative to net profit (loss) or any other performance measure prepared in accordance with GAAP. Adjusted EBITDA is presented because we believe that it provides useful supplemental information to investors and analysts regarding our operating performance and is frequently used by these parties in evaluating companies in our industry. By presenting Adjusted EBITDA, we provide a basis for comparison of our business operations between periods by excluding items that we do not believe are indicative of our core operating performance. We believe that investors’ understanding of our performance is enhanced by including this non-GAAP financial measure as a reasonable basis for comparing our ongoing results of operations. Additionally, our management uses Adjusted EBITDA as a supplemental measure of our performance because it assists us in comparing the operating performance of our business on a consistent basis between periods, as described above. Although we use EBITDA and Adjusted EBITDA as described above, EBITDA and Adjusted EBITDA have significant limitations as analytical tools. See the tables below regarding reconciliations of these non-GAAP financial measures to the most directly comparable GAAP measures.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Annualized Recurring Revenue. </w:t>
      </w:r>
      <w:r>
        <w:rPr>
          <w:rFonts w:ascii="Arial" w:cs="Arial" w:eastAsia="Arial" w:hAnsi="Arial"/>
          <w:sz w:val="16"/>
          <w:szCs w:val="16"/>
          <w:color w:val="auto"/>
        </w:rPr>
        <w:t>We use Annualized Recurring Revenue (“ARR”) as a measure of our revenue trend and an indicator of our future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w:t>
      </w:r>
    </w:p>
    <w:p>
      <w:pPr>
        <w:spacing w:after="0" w:line="4" w:lineRule="exact"/>
        <w:rPr>
          <w:sz w:val="20"/>
          <w:szCs w:val="20"/>
          <w:color w:val="auto"/>
        </w:rPr>
      </w:pPr>
    </w:p>
    <w:p>
      <w:pPr>
        <w:jc w:val="both"/>
        <w:ind w:firstLine="8"/>
        <w:spacing w:after="0" w:line="252"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excludes revenue from one-time professional services and setup fees. ARR is not adjusted for the impact of any known or projected future customer cancellations, upgrades or downgrades or price increases or decreases. The amount of actual revenue that we recognize over any 12-month period is likely to differ from ARR at the beginning of that period, sometimes significantly. This may occur due to new bookings, cancellations, upgrades or downgrades, pending renewals,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 Dollar Retention Rate. </w:t>
      </w:r>
      <w:r>
        <w:rPr>
          <w:rFonts w:ascii="Arial" w:cs="Arial" w:eastAsia="Arial" w:hAnsi="Arial"/>
          <w:sz w:val="17"/>
          <w:szCs w:val="17"/>
          <w:color w:val="auto"/>
        </w:rPr>
        <w:t>Our Net Dollar Retention Rate, which we use to measure our success in retaining and growing recurring revenue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Remaining Performance Obligations. </w:t>
      </w:r>
      <w:r>
        <w:rPr>
          <w:rFonts w:ascii="Arial" w:cs="Arial" w:eastAsia="Arial" w:hAnsi="Arial"/>
          <w:sz w:val="16"/>
          <w:szCs w:val="16"/>
          <w:color w:val="auto"/>
        </w:rPr>
        <w:t>Remaining Performance Obligations represents the amount of contracted future revenue that has not yet been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including both subscription and professional services revenues. Remaining Performance Obligations consists of both deferred revenue and contracted non-cancelable amounts that will be invoiced and recognized in future periods. We expect to recognize 59% of our Remaining Performance Obligations as revenue over the next 12 months,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Condensed Consolidated Balance Sheet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2020 (as</w:t>
            </w:r>
          </w:p>
        </w:tc>
      </w:tr>
      <w:tr>
        <w:trPr>
          <w:trHeight w:val="241"/>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restated)</w:t>
            </w:r>
          </w:p>
        </w:tc>
      </w:tr>
      <w:tr>
        <w:trPr>
          <w:trHeight w:val="223"/>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27,711</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8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24,190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17,134</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r>
      <w:tr>
        <w:trPr>
          <w:trHeight w:val="223"/>
        </w:trPr>
        <w:tc>
          <w:tcPr>
            <w:tcW w:w="60" w:type="dxa"/>
            <w:vAlign w:val="bottom"/>
          </w:tcPr>
          <w:p>
            <w:pPr>
              <w:spacing w:after="0"/>
              <w:rPr>
                <w:sz w:val="19"/>
                <w:szCs w:val="19"/>
                <w:color w:val="auto"/>
              </w:rPr>
            </w:pPr>
          </w:p>
        </w:tc>
        <w:tc>
          <w:tcPr>
            <w:tcW w:w="8620" w:type="dxa"/>
            <w:vAlign w:val="bottom"/>
            <w:gridSpan w:val="2"/>
          </w:tcPr>
          <w:p>
            <w:pPr>
              <w:ind w:left="180"/>
              <w:spacing w:after="0"/>
              <w:rPr>
                <w:sz w:val="20"/>
                <w:szCs w:val="20"/>
                <w:color w:val="auto"/>
              </w:rPr>
            </w:pPr>
            <w:r>
              <w:rPr>
                <w:rFonts w:ascii="Arial" w:cs="Arial" w:eastAsia="Arial" w:hAnsi="Arial"/>
                <w:sz w:val="18"/>
                <w:szCs w:val="18"/>
                <w:color w:val="auto"/>
              </w:rPr>
              <w:t>Deferred contract acquisition and fulfillment costs, current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8,702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176"/>
        </w:trPr>
        <w:tc>
          <w:tcPr>
            <w:tcW w:w="86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220,458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53,462</w:t>
            </w:r>
          </w:p>
        </w:tc>
      </w:tr>
      <w:tr>
        <w:trPr>
          <w:trHeight w:val="28"/>
        </w:trPr>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80"/>
              <w:spacing w:after="0"/>
              <w:rPr>
                <w:sz w:val="20"/>
                <w:szCs w:val="20"/>
                <w:color w:val="auto"/>
              </w:rPr>
            </w:pPr>
            <w:r>
              <w:rPr>
                <w:rFonts w:ascii="Arial" w:cs="Arial" w:eastAsia="Arial" w:hAnsi="Arial"/>
                <w:sz w:val="18"/>
                <w:szCs w:val="18"/>
                <w:color w:val="auto"/>
              </w:rPr>
              <w:t>Other assets, noncurrent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and fulfillment costs, noncurrent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15,876</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r>
      <w:tr>
        <w:trPr>
          <w:trHeight w:val="223"/>
        </w:trPr>
        <w:tc>
          <w:tcPr>
            <w:tcW w:w="6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non-current assets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47,013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37,492</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267,471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90,954</w:t>
            </w:r>
          </w:p>
        </w:tc>
      </w:tr>
      <w:tr>
        <w:trPr>
          <w:trHeight w:val="210"/>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680" w:type="dxa"/>
            <w:vAlign w:val="bottom"/>
            <w:gridSpan w:val="3"/>
            <w:shd w:val="clear" w:color="auto" w:fill="CCEEFF"/>
          </w:tcPr>
          <w:p>
            <w:pPr>
              <w:ind w:left="60"/>
              <w:spacing w:after="0" w:line="198" w:lineRule="exact"/>
              <w:rPr>
                <w:sz w:val="20"/>
                <w:szCs w:val="20"/>
                <w:color w:val="auto"/>
              </w:rPr>
            </w:pPr>
            <w:r>
              <w:rPr>
                <w:rFonts w:ascii="Arial" w:cs="Arial" w:eastAsia="Arial" w:hAnsi="Arial"/>
                <w:sz w:val="18"/>
                <w:szCs w:val="18"/>
                <w:b w:val="1"/>
                <w:bCs w:val="1"/>
                <w:color w:val="auto"/>
              </w:rPr>
              <w:t>LIABILITIES, CONVERTIBLE AND REDEEMABLE CONVERTIBLE PREFERRED STOCK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 w:type="dxa"/>
            <w:vAlign w:val="bottom"/>
            <w:shd w:val="clear" w:color="auto" w:fill="CCEEFF"/>
          </w:tcPr>
          <w:p>
            <w:pPr>
              <w:spacing w:after="0"/>
              <w:rPr>
                <w:sz w:val="20"/>
                <w:szCs w:val="20"/>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2,295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lease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Trade payables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5,045</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Employees and payroll accruals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w:t>
            </w:r>
          </w:p>
        </w:tc>
      </w:tr>
      <w:tr>
        <w:trPr>
          <w:trHeight w:val="216"/>
        </w:trPr>
        <w:tc>
          <w:tcPr>
            <w:tcW w:w="60" w:type="dxa"/>
            <w:vAlign w:val="bottom"/>
          </w:tcPr>
          <w:p>
            <w:pPr>
              <w:spacing w:after="0"/>
              <w:rPr>
                <w:sz w:val="18"/>
                <w:szCs w:val="18"/>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17,212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11,251</w:t>
            </w:r>
          </w:p>
        </w:tc>
      </w:tr>
      <w:tr>
        <w:trPr>
          <w:trHeight w:val="223"/>
        </w:trPr>
        <w:tc>
          <w:tcPr>
            <w:tcW w:w="6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63,014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47,685</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108,004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82,994</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r>
      <w:tr>
        <w:trPr>
          <w:trHeight w:val="216"/>
        </w:trPr>
        <w:tc>
          <w:tcPr>
            <w:tcW w:w="6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loans,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58,992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47,160</w:t>
            </w:r>
          </w:p>
        </w:tc>
      </w:tr>
      <w:tr>
        <w:trPr>
          <w:trHeight w:val="216"/>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Other liabilities, noncurrent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2,706</w:t>
            </w:r>
          </w:p>
        </w:tc>
      </w:tr>
      <w:tr>
        <w:trPr>
          <w:trHeight w:val="223"/>
        </w:trPr>
        <w:tc>
          <w:tcPr>
            <w:tcW w:w="86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Warrants to purchase preferred and common stock</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63,128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108,504</w:t>
            </w:r>
          </w:p>
        </w:tc>
      </w:tr>
      <w:tr>
        <w:trPr>
          <w:trHeight w:val="216"/>
        </w:trPr>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171,132</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191,498</w:t>
            </w:r>
          </w:p>
        </w:tc>
      </w:tr>
      <w:tr>
        <w:trPr>
          <w:trHeight w:val="446"/>
        </w:trPr>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Condensed Consolidated Balance Sheet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2020 (as</w:t>
            </w:r>
          </w:p>
        </w:tc>
      </w:tr>
      <w:tr>
        <w:trPr>
          <w:trHeight w:val="241"/>
        </w:trPr>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restated)</w:t>
            </w:r>
          </w:p>
        </w:tc>
      </w:tr>
      <w:tr>
        <w:trPr>
          <w:trHeight w:val="223"/>
        </w:trPr>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0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Convertible preferred stock, $ 0.0001 par value per share, 0 and 1,043,778 shares authorized,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outstanding as of September 30, 2021, and December 31, 2020, respectively; aggregate liquidation preference of</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 w:type="dxa"/>
            <w:vAlign w:val="bottom"/>
            <w:shd w:val="clear" w:color="auto" w:fill="CCEEFF"/>
          </w:tcPr>
          <w:p>
            <w:pPr>
              <w:spacing w:after="0"/>
              <w:rPr>
                <w:sz w:val="20"/>
                <w:szCs w:val="20"/>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and $1,921 as of September 30, 2021, and December 31, 2020, respectively;</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r>
      <w:tr>
        <w:trPr>
          <w:trHeight w:val="202"/>
        </w:trPr>
        <w:tc>
          <w:tcPr>
            <w:tcW w:w="100" w:type="dxa"/>
            <w:vAlign w:val="bottom"/>
          </w:tcPr>
          <w:p>
            <w:pPr>
              <w:spacing w:after="0"/>
              <w:rPr>
                <w:sz w:val="17"/>
                <w:szCs w:val="17"/>
                <w:color w:val="auto"/>
              </w:rPr>
            </w:pPr>
          </w:p>
        </w:tc>
        <w:tc>
          <w:tcPr>
            <w:tcW w:w="85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Redeemable convertible preferred stock, $ 0.0001 par value per share, 0 and 15,968,831 shares authorized as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7"/>
              </w:rPr>
              <w:t>September 30, 2021, and December 31, 2020, respectively; 0 and 15,779,322 issued and outstanding as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0"/>
              </w:rPr>
              <w:t>September 30, 2021, and December 31, 2020, respectively; aggregate liquidation preference of 0 and $185,425 as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0" w:type="dxa"/>
            <w:vAlign w:val="bottom"/>
          </w:tcPr>
          <w:p>
            <w:pPr>
              <w:spacing w:after="0"/>
              <w:rPr>
                <w:sz w:val="20"/>
                <w:szCs w:val="20"/>
                <w:color w:val="auto"/>
              </w:rPr>
            </w:pP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rPr>
              <w:t>of September 30, 2021, and December 31, 2020, respectively;</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158,191</w:t>
            </w:r>
          </w:p>
        </w:tc>
        <w:tc>
          <w:tcPr>
            <w:tcW w:w="100" w:type="dxa"/>
            <w:vAlign w:val="bottom"/>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176"/>
        </w:trPr>
        <w:tc>
          <w:tcPr>
            <w:tcW w:w="86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Total mezzanine equity</w:t>
            </w: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160,112</w:t>
            </w:r>
          </w:p>
        </w:tc>
      </w:tr>
      <w:tr>
        <w:trPr>
          <w:trHeight w:val="28"/>
        </w:trPr>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0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Preferred stock, $0.0001 par value per share, 20,000,000 and 0 shares authorized as of September 30, 2021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0" w:type="dxa"/>
            <w:vAlign w:val="bottom"/>
            <w:shd w:val="clear" w:color="auto" w:fill="CCEEFF"/>
          </w:tcPr>
          <w:p>
            <w:pPr>
              <w:spacing w:after="0"/>
              <w:rPr>
                <w:sz w:val="20"/>
                <w:szCs w:val="20"/>
                <w:color w:val="auto"/>
              </w:rPr>
            </w:pPr>
          </w:p>
        </w:tc>
        <w:tc>
          <w:tcPr>
            <w:tcW w:w="8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December 31, 2020, respectively; 0 issued and outstanding as of September 30, 2021 and December 31, 2020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00" w:type="dxa"/>
            <w:vAlign w:val="bottom"/>
          </w:tcPr>
          <w:p>
            <w:pPr>
              <w:spacing w:after="0"/>
              <w:rPr>
                <w:sz w:val="17"/>
                <w:szCs w:val="17"/>
                <w:color w:val="auto"/>
              </w:rPr>
            </w:pPr>
          </w:p>
        </w:tc>
        <w:tc>
          <w:tcPr>
            <w:tcW w:w="85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Common stock, $ 0.0001 par value per share, 1,000,000,000 and 157,500,000 shares authorized as of September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2"/>
              </w:rPr>
              <w:t>30, 2021, and December 31, 2020, respectively; 134,261,190 and 33,153,112 shares issued as of September 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w w:val="91"/>
              </w:rPr>
              <w:t>2021 and December 31, 2020, respectively; 126,576,000 and 25,467,922 shares outstanding as of September 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8580" w:type="dxa"/>
            <w:vAlign w:val="bottom"/>
            <w:gridSpan w:val="2"/>
          </w:tcPr>
          <w:p>
            <w:pPr>
              <w:ind w:left="26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10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Treasury stock – 7,685,190 shares of common stock, $0.0001 par value per share, as of September 30, 2021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0" w:type="dxa"/>
            <w:vAlign w:val="bottom"/>
            <w:shd w:val="clear" w:color="auto" w:fill="CCEEFF"/>
          </w:tcPr>
          <w:p>
            <w:pPr>
              <w:spacing w:after="0"/>
              <w:rPr>
                <w:sz w:val="20"/>
                <w:szCs w:val="20"/>
                <w:color w:val="auto"/>
              </w:rPr>
            </w:pPr>
          </w:p>
        </w:tc>
        <w:tc>
          <w:tcPr>
            <w:tcW w:w="8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2020</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(4,881)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(4,881)</w:t>
            </w:r>
          </w:p>
        </w:tc>
      </w:tr>
      <w:tr>
        <w:trPr>
          <w:trHeight w:val="216"/>
        </w:trPr>
        <w:tc>
          <w:tcPr>
            <w:tcW w:w="10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407,915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8,388</w:t>
            </w:r>
          </w:p>
        </w:tc>
      </w:tr>
      <w:tr>
        <w:trPr>
          <w:trHeight w:val="216"/>
        </w:trPr>
        <w:tc>
          <w:tcPr>
            <w:tcW w:w="10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on account of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w:t>
            </w:r>
          </w:p>
        </w:tc>
      </w:tr>
      <w:tr>
        <w:trPr>
          <w:trHeight w:val="223"/>
        </w:trPr>
        <w:tc>
          <w:tcPr>
            <w:tcW w:w="100" w:type="dxa"/>
            <w:vAlign w:val="bottom"/>
          </w:tcPr>
          <w:p>
            <w:pPr>
              <w:spacing w:after="0"/>
              <w:rPr>
                <w:sz w:val="19"/>
                <w:szCs w:val="19"/>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(306,708)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(263,283)</w:t>
            </w:r>
          </w:p>
        </w:tc>
      </w:tr>
      <w:tr>
        <w:trPr>
          <w:trHeight w:val="216"/>
        </w:trPr>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ind w:left="6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96,339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(260,656)</w:t>
            </w:r>
          </w:p>
        </w:tc>
      </w:tr>
      <w:tr>
        <w:trPr>
          <w:trHeight w:val="216"/>
        </w:trPr>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TOTAL LIABILITIES, CONVERTIBLE AND REDEEMABLE CONVERTIBLE PREFERRED STOCKS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AND STOCKHOLDERS’ EQUITY (DEFICIT)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267,471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90,954</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Condensed Consolidated Statements of Operations (USD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8"/>
                <w:szCs w:val="18"/>
                <w:b w:val="1"/>
                <w:bCs w:val="1"/>
                <w:color w:val="auto"/>
              </w:rPr>
              <w:t>(Unaudited)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75,061</w:t>
            </w: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15,817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10,202</w:t>
            </w: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6" w:lineRule="exact"/>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42,984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30,608</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122,300</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85,263</w:t>
            </w:r>
          </w:p>
        </w:tc>
      </w:tr>
      <w:tr>
        <w:trPr>
          <w:trHeight w:val="28"/>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Subscription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29,524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19,736</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13,982</w:t>
            </w: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15,167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12,514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46,371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33,718</w:t>
            </w: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75,929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51,545</w:t>
            </w: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20,543</w:t>
            </w: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6,651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31,942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21,451</w:t>
            </w: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16,762</w:t>
            </w: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6" w:lineRule="exact"/>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33,690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22,505</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96,173</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58,756</w:t>
            </w:r>
          </w:p>
        </w:tc>
      </w:tr>
      <w:tr>
        <w:trPr>
          <w:trHeight w:val="28"/>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4,411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20,244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7,211</w:t>
            </w: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Financial expenses,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18,432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12,809</w:t>
            </w: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38,676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20,020</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43,425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w:t>
            </w: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8,716</w:t>
            </w: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Redemption of redeemable convertible preferred stock upon initial public</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26,719</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51,666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31,140</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basic and diluted net loss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per share attributable to common stockholders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102,938,814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25,217,473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51,647,683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24,790,067</w:t>
            </w: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Stock-based compensation included in above line items: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24"/>
                <w:szCs w:val="2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598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3,736</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12,910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expenses included in above line items: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24"/>
                <w:szCs w:val="2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598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 by Segment (USD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5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24"/>
                <w:szCs w:val="24"/>
                <w:color w:val="auto"/>
              </w:rPr>
            </w:pPr>
          </w:p>
        </w:tc>
        <w:tc>
          <w:tcPr>
            <w:tcW w:w="21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3"/>
              </w:rPr>
              <w:t>Unaudited</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Enterprise, Education and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Media and Telecom</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9,607</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34,334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29,094</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Profit by Segment (USD in thousands)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24"/>
                <w:szCs w:val="24"/>
                <w:color w:val="auto"/>
              </w:rPr>
            </w:pPr>
          </w:p>
        </w:tc>
        <w:tc>
          <w:tcPr>
            <w:tcW w:w="21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3"/>
              </w:rPr>
              <w:t>Unaudited</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Enterprise, Education and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Media and Telecom</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3,048</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13,872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Condensed Consolidated Statements of Cash Flows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680" w:type="dxa"/>
            <w:vAlign w:val="bottom"/>
            <w:gridSpan w:val="5"/>
            <w:shd w:val="clear" w:color="auto" w:fill="CCEEFF"/>
          </w:tcPr>
          <w:p>
            <w:pPr>
              <w:ind w:left="60"/>
              <w:spacing w:after="0" w:line="17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spacing w:after="0"/>
              <w:rPr>
                <w:sz w:val="18"/>
                <w:szCs w:val="18"/>
                <w:color w:val="auto"/>
              </w:rPr>
            </w:pPr>
          </w:p>
        </w:tc>
      </w:tr>
      <w:tr>
        <w:trPr>
          <w:trHeight w:val="21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(43,425)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(22,424)</w:t>
            </w: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Adjustments required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amortization, and abandonment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Stock-based compensation expenses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12,910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and fulfillment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Change in valuation of warrants to purchase preferred and common stock</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15,046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10,034</w:t>
            </w: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Non-cash interest expenses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Non-cash expenses with respect to stockholders’ loans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Gain on sale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(7,055)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(8,561)</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Decrease (increase) in prepaid expenses and other current assets and other assets, noncurrent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(4,937)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deferred contract acquisition and fulfillment costs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(15,262)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(7,934)</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Increase in trade payables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w:t>
            </w: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Increase in employees and payroll accruals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(decrease) in other liabilities, noncurrent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r>
      <w:tr>
        <w:trPr>
          <w:trHeight w:val="223"/>
        </w:trPr>
        <w:tc>
          <w:tcPr>
            <w:tcW w:w="8680" w:type="dxa"/>
            <w:vAlign w:val="bottom"/>
            <w:gridSpan w:val="5"/>
          </w:tcPr>
          <w:p>
            <w:pPr>
              <w:spacing w:after="0"/>
              <w:rPr>
                <w:sz w:val="20"/>
                <w:szCs w:val="20"/>
                <w:color w:val="auto"/>
              </w:rPr>
            </w:pPr>
            <w:r>
              <w:rPr>
                <w:rFonts w:ascii="Arial" w:cs="Arial" w:eastAsia="Arial" w:hAnsi="Arial"/>
                <w:sz w:val="18"/>
                <w:szCs w:val="18"/>
                <w:color w:val="auto"/>
              </w:rPr>
              <w:t>Increase in deferred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15,221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23"/>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(11,370)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5"/>
          </w:tcPr>
          <w:p>
            <w:pPr>
              <w:ind w:left="60"/>
              <w:spacing w:after="0" w:line="17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Net cash acquired in business combination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Capitalized internal-use software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w:t>
            </w:r>
          </w:p>
        </w:tc>
      </w:tr>
      <w:tr>
        <w:trPr>
          <w:trHeight w:val="223"/>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(3,770)</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5"/>
          </w:tcPr>
          <w:p>
            <w:pPr>
              <w:ind w:left="60"/>
              <w:spacing w:after="0" w:line="17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6"/>
              </w:rPr>
              <w:t>Payment related to the conversion of Series F redeemable convertible preferred stock upon initial public offering</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Proceeds from long term loans, net of debt issuance cost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41,915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Repayment of long-term loans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(29,083)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(1,329)</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(1,842)</w:t>
            </w:r>
          </w:p>
        </w:tc>
      </w:tr>
      <w:tr>
        <w:trPr>
          <w:trHeight w:val="21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Proceeds from exercise of options by employees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23"/>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Payment of deferred offering costs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(4,087)</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r>
      <w:tr>
        <w:trPr>
          <w:trHeight w:val="216"/>
        </w:trPr>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5"/>
          </w:tcPr>
          <w:p>
            <w:pPr>
              <w:ind w:left="60"/>
              <w:spacing w:after="0"/>
              <w:rPr>
                <w:sz w:val="20"/>
                <w:szCs w:val="20"/>
                <w:color w:val="auto"/>
              </w:rPr>
            </w:pPr>
            <w:r>
              <w:rPr>
                <w:rFonts w:ascii="Arial" w:cs="Arial" w:eastAsia="Arial" w:hAnsi="Arial"/>
                <w:sz w:val="18"/>
                <w:szCs w:val="18"/>
                <w:color w:val="auto"/>
              </w:rPr>
              <w:t>Increase in cash, cash equivalents and 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151,793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23"/>
        </w:trPr>
        <w:tc>
          <w:tcPr>
            <w:tcW w:w="86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180,148</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27,416</w:t>
            </w:r>
          </w:p>
        </w:tc>
      </w:tr>
      <w:tr>
        <w:trPr>
          <w:trHeight w:val="210"/>
        </w:trPr>
        <w:tc>
          <w:tcPr>
            <w:tcW w:w="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8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Non-cash transactions: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spacing w:after="0"/>
              <w:rPr>
                <w:sz w:val="18"/>
                <w:szCs w:val="18"/>
                <w:color w:val="auto"/>
              </w:rPr>
            </w:pPr>
          </w:p>
        </w:tc>
      </w:tr>
      <w:tr>
        <w:trPr>
          <w:trHeight w:val="256"/>
        </w:trPr>
        <w:tc>
          <w:tcPr>
            <w:tcW w:w="86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Purchase and sale of property and equipment, internal-use software, and intangible asset in credit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Issuance of common shares and warrant with respect to business combination</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Conversion of warrants to common stock upon initial public offering</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w w:val="95"/>
              </w:rPr>
              <w:t>Conversion of convertible and redeemable convertible preferred stock to common stock upon initial public offering</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161,261</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6"/>
        </w:trPr>
        <w:tc>
          <w:tcPr>
            <w:tcW w:w="86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Unpaid deferred offering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46"/>
        </w:trPr>
        <w:tc>
          <w:tcPr>
            <w:tcW w:w="6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9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244"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Adjusted EBITDA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(USD in</w:t>
            </w:r>
          </w:p>
        </w:tc>
        <w:tc>
          <w:tcPr>
            <w:tcW w:w="13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82"/>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(22,424)</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16"/>
                <w:szCs w:val="16"/>
                <w:color w:val="auto"/>
              </w:rPr>
              <w:t xml:space="preserve">Financial expenses, net </w:t>
            </w:r>
            <w:r>
              <w:rPr>
                <w:rFonts w:ascii="Arial" w:cs="Arial" w:eastAsia="Arial" w:hAnsi="Arial"/>
                <w:sz w:val="25"/>
                <w:szCs w:val="25"/>
                <w:color w:val="auto"/>
                <w:vertAlign w:val="superscript"/>
              </w:rPr>
              <w:t>(a)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1,525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12,809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1,082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Abandonment costs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16"/>
                <w:szCs w:val="16"/>
                <w:color w:val="auto"/>
              </w:rPr>
              <w:t xml:space="preserve">Gain on sale of property and equipment </w:t>
            </w:r>
            <w:r>
              <w:rPr>
                <w:rFonts w:ascii="Arial" w:cs="Arial" w:eastAsia="Arial" w:hAnsi="Arial"/>
                <w:sz w:val="25"/>
                <w:szCs w:val="25"/>
                <w:color w:val="auto"/>
                <w:vertAlign w:val="superscript"/>
              </w:rPr>
              <w:t>(c)</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1,673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2,764</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right="120" w:hanging="488"/>
        <w:spacing w:after="0" w:line="34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three months ended September 30, 2021 and 2020, and the nine months ended September 30, 2021 and 2020 include $16,822, $0, $15,046 and $10,034 respectively, of remeasurement of warrants to fair value, and $766, $1,037, $2,228 and $3,062 of interest expenses.</w:t>
      </w:r>
    </w:p>
    <w:p>
      <w:pPr>
        <w:spacing w:after="0" w:line="177" w:lineRule="exact"/>
        <w:rPr>
          <w:rFonts w:ascii="Arial" w:cs="Arial" w:eastAsia="Arial" w:hAnsi="Arial"/>
          <w:sz w:val="16"/>
          <w:szCs w:val="16"/>
          <w:color w:val="auto"/>
        </w:rPr>
      </w:pPr>
    </w:p>
    <w:p>
      <w:pPr>
        <w:ind w:left="820" w:right="10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three and nine months ended September 30, 2020 includes a $3,969 one-time expense related to the abandonment of data center equipment in connection with our transition to a public cloud infrastructure.</w:t>
      </w:r>
    </w:p>
    <w:p>
      <w:pPr>
        <w:spacing w:after="0" w:line="224" w:lineRule="exact"/>
        <w:rPr>
          <w:rFonts w:ascii="Arial" w:cs="Arial" w:eastAsia="Arial" w:hAnsi="Arial"/>
          <w:sz w:val="18"/>
          <w:szCs w:val="18"/>
          <w:color w:val="auto"/>
        </w:rPr>
      </w:pPr>
    </w:p>
    <w:p>
      <w:pPr>
        <w:ind w:left="820" w:right="68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three and nine months ended September 30, 2021 includes a one-time gain on sale of data center equipment in connection with our transition to a public cloud infrastructure.</w:t>
      </w:r>
    </w:p>
    <w:p>
      <w:pPr>
        <w:spacing w:after="0" w:line="224" w:lineRule="exact"/>
        <w:rPr>
          <w:rFonts w:ascii="Arial" w:cs="Arial" w:eastAsia="Arial" w:hAnsi="Arial"/>
          <w:sz w:val="18"/>
          <w:szCs w:val="18"/>
          <w:color w:val="auto"/>
        </w:rPr>
      </w:pPr>
    </w:p>
    <w:p>
      <w:pPr>
        <w:ind w:left="820" w:right="460" w:hanging="488"/>
        <w:spacing w:after="0" w:line="34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three and nine months ended September 30, 2021 include other operating expenses related to the forgiveness of loans to certain of our directors and executive officers in connection with the public filing of the registration statement for 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Reported KPIs</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8"/>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8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23"/>
        </w:trPr>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(dollar amounts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Annualized Recurring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151,704</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Dollar Retention Rate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Remaining Performance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162,316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130,735</w:t>
            </w:r>
          </w:p>
        </w:tc>
      </w:tr>
      <w:tr>
        <w:trPr>
          <w:trHeight w:val="412"/>
        </w:trPr>
        <w:tc>
          <w:tcPr>
            <w:tcW w:w="8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35"/>
        </w:trPr>
        <w:tc>
          <w:tcPr>
            <w:tcW w:w="8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36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2021-11-03T05:47:15Z</dcterms:created>
  <dcterms:modified xsi:type="dcterms:W3CDTF">2021-11-03T05:47:15Z</dcterms:modified>
</cp:coreProperties>
</file>