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23, 2022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Kaltura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0"/>
              </w:rPr>
              <w:t>001-40644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20-8128326</w:t>
            </w:r>
          </w:p>
        </w:tc>
      </w:tr>
      <w:tr>
        <w:trPr>
          <w:trHeight w:val="216"/>
        </w:trPr>
        <w:tc>
          <w:tcPr>
            <w:tcW w:w="35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(State or other jurisdiction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7"/>
              </w:rPr>
              <w:t>(Commission</w:t>
            </w:r>
          </w:p>
        </w:tc>
        <w:tc>
          <w:tcPr>
            <w:tcW w:w="314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5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of incorporation)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4"/>
              </w:rPr>
              <w:t>File Number)</w:t>
            </w:r>
          </w:p>
        </w:tc>
        <w:tc>
          <w:tcPr>
            <w:tcW w:w="314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9"/>
              </w:rPr>
              <w:t>250 Park Avenue South</w:t>
            </w:r>
          </w:p>
        </w:tc>
        <w:tc>
          <w:tcPr>
            <w:tcW w:w="314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1"/>
              </w:rPr>
              <w:t>10th Floor</w:t>
            </w:r>
          </w:p>
        </w:tc>
        <w:tc>
          <w:tcPr>
            <w:tcW w:w="31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New York, New York 10003</w:t>
            </w:r>
          </w:p>
        </w:tc>
        <w:tc>
          <w:tcPr>
            <w:tcW w:w="31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45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3140" w:type="dxa"/>
            <w:vAlign w:val="bottom"/>
          </w:tcPr>
          <w:p>
            <w:pPr>
              <w:spacing w:after="0"/>
              <w:rPr>
                <w:sz w:val="20"/>
                <w:szCs w:val="20"/>
                <w:color w:val="auto"/>
              </w:rPr>
            </w:pPr>
          </w:p>
        </w:tc>
      </w:tr>
      <w:tr>
        <w:trPr>
          <w:trHeight w:val="468"/>
        </w:trPr>
        <w:tc>
          <w:tcPr>
            <w:tcW w:w="3560" w:type="dxa"/>
            <w:vAlign w:val="bottom"/>
          </w:tcPr>
          <w:p>
            <w:pPr>
              <w:spacing w:after="0"/>
              <w:rPr>
                <w:sz w:val="24"/>
                <w:szCs w:val="24"/>
                <w:color w:val="auto"/>
              </w:rPr>
            </w:pPr>
          </w:p>
        </w:tc>
        <w:tc>
          <w:tcPr>
            <w:tcW w:w="38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0"/>
              </w:rPr>
              <w:t>(646) 290-5445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4"/>
        </w:trPr>
        <w:tc>
          <w:tcPr>
            <w:tcW w:w="3560" w:type="dxa"/>
            <w:vAlign w:val="bottom"/>
          </w:tcPr>
          <w:p>
            <w:pPr>
              <w:spacing w:after="0"/>
              <w:rPr>
                <w:sz w:val="20"/>
                <w:szCs w:val="20"/>
                <w:color w:val="auto"/>
              </w:rPr>
            </w:pPr>
          </w:p>
        </w:tc>
        <w:tc>
          <w:tcPr>
            <w:tcW w:w="4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3140" w:type="dxa"/>
            <w:vAlign w:val="bottom"/>
          </w:tcPr>
          <w:p>
            <w:pPr>
              <w:spacing w:after="0"/>
              <w:rPr>
                <w:sz w:val="20"/>
                <w:szCs w:val="20"/>
                <w:color w:val="auto"/>
              </w:rPr>
            </w:pPr>
          </w:p>
        </w:tc>
      </w:tr>
      <w:tr>
        <w:trPr>
          <w:trHeight w:val="468"/>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Not Applicable</w:t>
            </w:r>
          </w:p>
        </w:tc>
        <w:tc>
          <w:tcPr>
            <w:tcW w:w="3140" w:type="dxa"/>
            <w:vAlign w:val="bottom"/>
          </w:tcPr>
          <w:p>
            <w:pPr>
              <w:spacing w:after="0"/>
              <w:rPr>
                <w:sz w:val="24"/>
                <w:szCs w:val="24"/>
                <w:color w:val="auto"/>
              </w:rPr>
            </w:pPr>
          </w:p>
        </w:tc>
      </w:tr>
      <w:tr>
        <w:trPr>
          <w:trHeight w:val="234"/>
        </w:trPr>
        <w:tc>
          <w:tcPr>
            <w:tcW w:w="8100" w:type="dxa"/>
            <w:vAlign w:val="bottom"/>
            <w:gridSpan w:val="6"/>
          </w:tcPr>
          <w:p>
            <w:pPr>
              <w:jc w:val="center"/>
              <w:ind w:left="305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3140" w:type="dxa"/>
            <w:vAlign w:val="bottom"/>
          </w:tcPr>
          <w:p>
            <w:pPr>
              <w:spacing w:after="0"/>
              <w:rPr>
                <w:sz w:val="20"/>
                <w:szCs w:val="20"/>
                <w:color w:val="auto"/>
              </w:rPr>
            </w:pPr>
          </w:p>
        </w:tc>
      </w:tr>
      <w:tr>
        <w:trPr>
          <w:trHeight w:val="486"/>
        </w:trPr>
        <w:tc>
          <w:tcPr>
            <w:tcW w:w="81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40" w:type="dxa"/>
            <w:vAlign w:val="bottom"/>
          </w:tcPr>
          <w:p>
            <w:pPr>
              <w:spacing w:after="0"/>
              <w:rPr>
                <w:sz w:val="24"/>
                <w:szCs w:val="24"/>
                <w:color w:val="auto"/>
              </w:rPr>
            </w:pPr>
          </w:p>
        </w:tc>
      </w:tr>
      <w:tr>
        <w:trPr>
          <w:trHeight w:val="468"/>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Trading</w:t>
            </w:r>
          </w:p>
        </w:tc>
        <w:tc>
          <w:tcPr>
            <w:tcW w:w="3140" w:type="dxa"/>
            <w:vAlign w:val="bottom"/>
          </w:tcPr>
          <w:p>
            <w:pPr>
              <w:jc w:val="center"/>
              <w:ind w:right="470"/>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356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7"/>
              </w:rPr>
              <w:t>Symbol(s)</w:t>
            </w:r>
          </w:p>
        </w:tc>
        <w:tc>
          <w:tcPr>
            <w:tcW w:w="314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356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KLTR</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3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2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3"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1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February 23, 2022, Kaltura, Inc. (the “Company”) issued a press release announcing its financial results for the quarter and year ended December 31, 2021. A copy of the press release is furnished as Exhibit 99.1 to this Current Report on Form 8-K.</w:t>
      </w:r>
    </w:p>
    <w:p>
      <w:pPr>
        <w:spacing w:after="0" w:line="2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 No. Description</w:t>
      </w:r>
    </w:p>
    <w:tbl>
      <w:tblPr>
        <w:tblLayout w:type="fixed"/>
        <w:tblInd w:w="0" w:type="dxa"/>
        <w:tblCellMar>
          <w:top w:w="0" w:type="dxa"/>
          <w:left w:w="0" w:type="dxa"/>
          <w:bottom w:w="0" w:type="dxa"/>
          <w:right w:w="0" w:type="dxa"/>
        </w:tblCellMar>
      </w:tblPr>
      <w:tr>
        <w:trPr>
          <w:trHeight w:val="203"/>
        </w:trPr>
        <w:tc>
          <w:tcPr>
            <w:tcW w:w="640" w:type="dxa"/>
            <w:vAlign w:val="bottom"/>
            <w:gridSpan w:val="2"/>
          </w:tcPr>
          <w:p>
            <w:pPr>
              <w:spacing w:after="0" w:line="203"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600" w:type="dxa"/>
            <w:vAlign w:val="bottom"/>
            <w:gridSpan w:val="3"/>
          </w:tcPr>
          <w:p>
            <w:pPr>
              <w:ind w:left="320"/>
              <w:spacing w:after="0" w:line="203"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23,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53"/>
        </w:trPr>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KALTURA,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Yaron Garmazi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19685</wp:posOffset>
            </wp:positionV>
            <wp:extent cx="223774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774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Kaltura Announces Financial Results for Fourth Quarter and Full Year 2021</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NEW YORK, February 23, 2022 -- Kaltura, Inc. (“Kaltura” or the “Company”), the video experience cloud, today announced reported financial results for the fourth quarter and full year ended December 31, 2021, as well as outlook for the first quarter and full year 2022.</w:t>
      </w:r>
    </w:p>
    <w:p>
      <w:pPr>
        <w:spacing w:after="0" w:line="22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“Video is increasingly at the heart of digital experiences, and so is Kaltura. In the fourth quarter of 2021, we introduced two important product enhancements. We released a new version of our events platform, which builds on our success with powering large flagship virtual events and provides customers with a single platform to create and manage virtual and hybrid events of all types and sizes across their entire organization. We also released newly designed flows for purchasing our self-serve offerings for Webinars, Virtual Classroom, and Media Services directly from our website,” said Ron Yekutiel, Co-founder, Chairman and Chief Executive Officer of Kaltura. “These releases are expected to grow our target customer base, expand the use of products by our customers, shorten our sales and deployment cycles, and increase our gross margins. Along with our earlier product releases in 2020 and 2021, our strong retention rates, and the scaling up of our sales team, we have promising growth engines in place for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Financial Highlights:</w:t>
      </w:r>
    </w:p>
    <w:p>
      <w:pPr>
        <w:spacing w:after="0" w:line="279" w:lineRule="exact"/>
        <w:rPr>
          <w:sz w:val="20"/>
          <w:szCs w:val="20"/>
          <w:color w:val="auto"/>
        </w:rPr>
      </w:pPr>
    </w:p>
    <w:p>
      <w:pPr>
        <w:ind w:left="860" w:hanging="488"/>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for the fourth quarter of 2021 was $42.7 million, an increase of 21% compared to $35.2 million for the fourth quarter of 2020.</w:t>
      </w:r>
    </w:p>
    <w:p>
      <w:pPr>
        <w:spacing w:after="0" w:line="290" w:lineRule="exact"/>
        <w:rPr>
          <w:rFonts w:ascii="Arial" w:cs="Arial" w:eastAsia="Arial" w:hAnsi="Arial"/>
          <w:sz w:val="17"/>
          <w:szCs w:val="17"/>
          <w:color w:val="auto"/>
        </w:rPr>
      </w:pPr>
    </w:p>
    <w:p>
      <w:pPr>
        <w:ind w:left="8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revenue </w:t>
      </w:r>
      <w:r>
        <w:rPr>
          <w:rFonts w:ascii="Arial" w:cs="Arial" w:eastAsia="Arial" w:hAnsi="Arial"/>
          <w:sz w:val="18"/>
          <w:szCs w:val="18"/>
          <w:color w:val="auto"/>
        </w:rPr>
        <w:t>for the fourth quarter of 2021 was $38.5 million, an increase of 33% compared to $29.0 million for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215" w:lineRule="exact"/>
        <w:rPr>
          <w:rFonts w:ascii="Arial" w:cs="Arial" w:eastAsia="Arial" w:hAnsi="Arial"/>
          <w:sz w:val="18"/>
          <w:szCs w:val="18"/>
          <w:color w:val="auto"/>
        </w:rPr>
      </w:pPr>
    </w:p>
    <w:p>
      <w:pPr>
        <w:ind w:left="860" w:hanging="48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Annualized Recurring Revenue (ARR) </w:t>
      </w:r>
      <w:r>
        <w:rPr>
          <w:rFonts w:ascii="Arial" w:cs="Arial" w:eastAsia="Arial" w:hAnsi="Arial"/>
          <w:sz w:val="18"/>
          <w:szCs w:val="18"/>
          <w:color w:val="auto"/>
        </w:rPr>
        <w:t>was $150.8 million, an increase of 29% compared to $116.6 million in 2020.</w:t>
      </w:r>
    </w:p>
    <w:p>
      <w:pPr>
        <w:spacing w:after="0" w:line="279"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GAAP Gross profit </w:t>
      </w:r>
      <w:r>
        <w:rPr>
          <w:rFonts w:ascii="Arial" w:cs="Arial" w:eastAsia="Arial" w:hAnsi="Arial"/>
          <w:sz w:val="18"/>
          <w:szCs w:val="18"/>
          <w:color w:val="auto"/>
        </w:rPr>
        <w:t>for the fourth quarter of 2021 was $26.8 million, representing a gross margin of 63% compared to a GAAP gross profit of</w:t>
      </w:r>
      <w:r>
        <w:rPr>
          <w:rFonts w:ascii="Arial" w:cs="Arial" w:eastAsia="Arial" w:hAnsi="Arial"/>
          <w:sz w:val="18"/>
          <w:szCs w:val="18"/>
          <w:b w:val="1"/>
          <w:bCs w:val="1"/>
          <w:color w:val="auto"/>
        </w:rPr>
        <w:t xml:space="preserve"> </w:t>
      </w:r>
      <w:r>
        <w:rPr>
          <w:rFonts w:ascii="Arial" w:cs="Arial" w:eastAsia="Arial" w:hAnsi="Arial"/>
          <w:sz w:val="18"/>
          <w:szCs w:val="18"/>
          <w:color w:val="auto"/>
        </w:rPr>
        <w:t>$21.2 million and gross margin of 60% for the fourth quarter of 2020.</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Non-GAAP Gross profit </w:t>
      </w:r>
      <w:r>
        <w:rPr>
          <w:rFonts w:ascii="Arial" w:cs="Arial" w:eastAsia="Arial" w:hAnsi="Arial"/>
          <w:sz w:val="18"/>
          <w:szCs w:val="18"/>
          <w:color w:val="auto"/>
        </w:rPr>
        <w:t>for the fourth quarter of 2021 was $27.1 million, representing a non-GAAP gross margin of 63%, compared to a non-GAAP gross profit of $21.5 million and non-GAAP gross margin of 61% for the fourth quarter of 2020.</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GAAP Operating loss </w:t>
      </w:r>
      <w:r>
        <w:rPr>
          <w:rFonts w:ascii="Arial" w:cs="Arial" w:eastAsia="Arial" w:hAnsi="Arial"/>
          <w:sz w:val="18"/>
          <w:szCs w:val="18"/>
          <w:color w:val="auto"/>
        </w:rPr>
        <w:t>was $(12.4) million for the fourth quarter of 2021, compared to an operating loss of $(1.3) million for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2020.</w:t>
      </w:r>
    </w:p>
    <w:p>
      <w:pPr>
        <w:spacing w:after="0" w:line="215" w:lineRule="exact"/>
        <w:rPr>
          <w:rFonts w:ascii="Arial" w:cs="Arial" w:eastAsia="Arial" w:hAnsi="Arial"/>
          <w:sz w:val="18"/>
          <w:szCs w:val="18"/>
          <w:color w:val="auto"/>
        </w:rPr>
      </w:pPr>
    </w:p>
    <w:p>
      <w:pPr>
        <w:ind w:left="860" w:right="2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Non-GAAP Operating income (loss) </w:t>
      </w:r>
      <w:r>
        <w:rPr>
          <w:rFonts w:ascii="Arial" w:cs="Arial" w:eastAsia="Arial" w:hAnsi="Arial"/>
          <w:sz w:val="18"/>
          <w:szCs w:val="18"/>
          <w:color w:val="auto"/>
        </w:rPr>
        <w:t>was $(8.1) million for the fourth quarter of 2021, compared to a non-GAAP operating income of $1.3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fourth quarter of 2020.</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GAAP Net loss </w:t>
      </w:r>
      <w:r>
        <w:rPr>
          <w:rFonts w:ascii="Arial" w:cs="Arial" w:eastAsia="Arial" w:hAnsi="Arial"/>
          <w:sz w:val="18"/>
          <w:szCs w:val="18"/>
          <w:color w:val="auto"/>
        </w:rPr>
        <w:t>was $15.9 million or $0.12 per diluted share for the fourth quarter of 2021, compared to a GAAP net loss of $36.3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$1.56 per diluted share, for the fourth quarter of 2020.</w:t>
      </w:r>
    </w:p>
    <w:p>
      <w:pPr>
        <w:spacing w:after="0" w:line="215" w:lineRule="exact"/>
        <w:rPr>
          <w:rFonts w:ascii="Arial" w:cs="Arial" w:eastAsia="Arial" w:hAnsi="Arial"/>
          <w:sz w:val="18"/>
          <w:szCs w:val="18"/>
          <w:color w:val="auto"/>
        </w:rPr>
      </w:pPr>
    </w:p>
    <w:p>
      <w:pPr>
        <w:ind w:left="860" w:right="3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was $11.6 million or $0.09 per diluted share for the fourth quarter of 2021, compared to a non-GAAP net loss of $2.3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$0.02 per diluted share, for the fourth quarter of 2020.</w:t>
      </w:r>
    </w:p>
    <w:p>
      <w:pPr>
        <w:spacing w:after="0" w:line="215" w:lineRule="exact"/>
        <w:rPr>
          <w:rFonts w:ascii="Arial" w:cs="Arial" w:eastAsia="Arial" w:hAnsi="Arial"/>
          <w:sz w:val="18"/>
          <w:szCs w:val="18"/>
          <w:color w:val="auto"/>
        </w:rPr>
      </w:pPr>
    </w:p>
    <w:p>
      <w:pPr>
        <w:ind w:left="860" w:right="22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$(7.7) million for the fourth quarter of 2021, compared to adjusted EBITDA of $1.5 million for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cash provided (used in) operating activities was </w:t>
      </w:r>
      <w:r>
        <w:rPr>
          <w:rFonts w:ascii="Arial" w:cs="Arial" w:eastAsia="Arial" w:hAnsi="Arial"/>
          <w:sz w:val="18"/>
          <w:szCs w:val="18"/>
          <w:color w:val="auto"/>
        </w:rPr>
        <w:t>$(10.7) million for the fourth quarter of 2021, compared to $4.1 million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activities in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Full Year 2021 Financial Highlights:</w:t>
      </w:r>
    </w:p>
    <w:p>
      <w:pPr>
        <w:spacing w:after="0" w:line="279" w:lineRule="exact"/>
        <w:rPr>
          <w:sz w:val="20"/>
          <w:szCs w:val="20"/>
          <w:color w:val="auto"/>
        </w:rPr>
      </w:pPr>
    </w:p>
    <w:p>
      <w:pPr>
        <w:ind w:left="860" w:hanging="488"/>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full year of 2021 was $165.0 million, an increase of 37% compared to $120.4 million for the full year of 2020.</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Subscription revenue </w:t>
      </w:r>
      <w:r>
        <w:rPr>
          <w:rFonts w:ascii="Arial" w:cs="Arial" w:eastAsia="Arial" w:hAnsi="Arial"/>
          <w:sz w:val="16"/>
          <w:szCs w:val="16"/>
          <w:color w:val="auto"/>
        </w:rPr>
        <w:t>for the full year of 2021 was $145.0 million, an increase of 39% compared to $104.1 million for the full year of 2020.</w:t>
      </w:r>
    </w:p>
    <w:p>
      <w:pPr>
        <w:spacing w:after="0" w:line="302" w:lineRule="exact"/>
        <w:rPr>
          <w:rFonts w:ascii="Arial" w:cs="Arial" w:eastAsia="Arial" w:hAnsi="Arial"/>
          <w:sz w:val="16"/>
          <w:szCs w:val="16"/>
          <w:color w:val="auto"/>
        </w:rPr>
      </w:pPr>
    </w:p>
    <w:p>
      <w:pPr>
        <w:ind w:left="860" w:hanging="488"/>
        <w:spacing w:after="0" w:line="28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GAAP Gross profit </w:t>
      </w:r>
      <w:r>
        <w:rPr>
          <w:rFonts w:ascii="Arial" w:cs="Arial" w:eastAsia="Arial" w:hAnsi="Arial"/>
          <w:sz w:val="18"/>
          <w:szCs w:val="18"/>
          <w:color w:val="auto"/>
        </w:rPr>
        <w:t>for the full year of 2021 was $102.7 million, representing a gross margin of 62% compared to a GAAP gross profit of</w:t>
      </w:r>
      <w:r>
        <w:rPr>
          <w:rFonts w:ascii="Arial" w:cs="Arial" w:eastAsia="Arial" w:hAnsi="Arial"/>
          <w:sz w:val="18"/>
          <w:szCs w:val="18"/>
          <w:b w:val="1"/>
          <w:bCs w:val="1"/>
          <w:color w:val="auto"/>
        </w:rPr>
        <w:t xml:space="preserve"> </w:t>
      </w:r>
      <w:r>
        <w:rPr>
          <w:rFonts w:ascii="Arial" w:cs="Arial" w:eastAsia="Arial" w:hAnsi="Arial"/>
          <w:sz w:val="18"/>
          <w:szCs w:val="18"/>
          <w:color w:val="auto"/>
        </w:rPr>
        <w:t>$72.8 million and gross margin of 60% for the full year of 2020.</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Non-GAAP Gross profit </w:t>
      </w:r>
      <w:r>
        <w:rPr>
          <w:rFonts w:ascii="Arial" w:cs="Arial" w:eastAsia="Arial" w:hAnsi="Arial"/>
          <w:sz w:val="18"/>
          <w:szCs w:val="18"/>
          <w:color w:val="auto"/>
        </w:rPr>
        <w:t>for the full year of 2021 was $104.1 million, representing a gross margin of 63% compared to a non-GAAP gross</w:t>
      </w:r>
      <w:r>
        <w:rPr>
          <w:rFonts w:ascii="Arial" w:cs="Arial" w:eastAsia="Arial" w:hAnsi="Arial"/>
          <w:sz w:val="18"/>
          <w:szCs w:val="18"/>
          <w:b w:val="1"/>
          <w:bCs w:val="1"/>
          <w:color w:val="auto"/>
        </w:rPr>
        <w:t xml:space="preserve"> </w:t>
      </w:r>
      <w:r>
        <w:rPr>
          <w:rFonts w:ascii="Arial" w:cs="Arial" w:eastAsia="Arial" w:hAnsi="Arial"/>
          <w:sz w:val="18"/>
          <w:szCs w:val="18"/>
          <w:color w:val="auto"/>
        </w:rPr>
        <w:t>profit of $73.6 million and gross margin of 61% for the full year of 2020.</w:t>
      </w:r>
    </w:p>
    <w:p>
      <w:pPr>
        <w:spacing w:after="0" w:line="215" w:lineRule="exact"/>
        <w:rPr>
          <w:rFonts w:ascii="Arial" w:cs="Arial" w:eastAsia="Arial" w:hAnsi="Arial"/>
          <w:sz w:val="18"/>
          <w:szCs w:val="18"/>
          <w:color w:val="auto"/>
        </w:rPr>
      </w:pPr>
    </w:p>
    <w:p>
      <w:pPr>
        <w:ind w:left="860" w:hanging="488"/>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GAAP Operating loss </w:t>
      </w:r>
      <w:r>
        <w:rPr>
          <w:rFonts w:ascii="Arial" w:cs="Arial" w:eastAsia="Arial" w:hAnsi="Arial"/>
          <w:sz w:val="16"/>
          <w:szCs w:val="16"/>
          <w:color w:val="auto"/>
        </w:rPr>
        <w:t>was $(32.7) million for the full year of 2021, compared to an operating loss of $(8.5) million for the full year of 2020.</w:t>
      </w:r>
    </w:p>
    <w:p>
      <w:pPr>
        <w:spacing w:after="0" w:line="302" w:lineRule="exact"/>
        <w:rPr>
          <w:rFonts w:ascii="Arial" w:cs="Arial" w:eastAsia="Arial" w:hAnsi="Arial"/>
          <w:sz w:val="16"/>
          <w:szCs w:val="16"/>
          <w:color w:val="auto"/>
        </w:rPr>
      </w:pPr>
    </w:p>
    <w:p>
      <w:pPr>
        <w:ind w:left="860" w:hanging="488"/>
        <w:spacing w:after="0" w:line="28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Non-GAAP Operating income (loss) </w:t>
      </w:r>
      <w:r>
        <w:rPr>
          <w:rFonts w:ascii="Arial" w:cs="Arial" w:eastAsia="Arial" w:hAnsi="Arial"/>
          <w:sz w:val="18"/>
          <w:szCs w:val="18"/>
          <w:color w:val="auto"/>
        </w:rPr>
        <w:t>was $(13.6) million for the full year of 2021, compared to a non-GAAP operating income of $1.5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full year of 2020.</w:t>
      </w:r>
    </w:p>
    <w:p>
      <w:pPr>
        <w:spacing w:after="0" w:line="215" w:lineRule="exact"/>
        <w:rPr>
          <w:rFonts w:ascii="Arial" w:cs="Arial" w:eastAsia="Arial" w:hAnsi="Arial"/>
          <w:sz w:val="18"/>
          <w:szCs w:val="18"/>
          <w:color w:val="auto"/>
        </w:rPr>
      </w:pPr>
    </w:p>
    <w:p>
      <w:pPr>
        <w:ind w:left="860" w:right="100" w:hanging="488"/>
        <w:spacing w:after="0" w:line="28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GAAP Net loss </w:t>
      </w:r>
      <w:r>
        <w:rPr>
          <w:rFonts w:ascii="Arial" w:cs="Arial" w:eastAsia="Arial" w:hAnsi="Arial"/>
          <w:sz w:val="18"/>
          <w:szCs w:val="18"/>
          <w:color w:val="auto"/>
        </w:rPr>
        <w:t>was $59.4 million or $0.95 per diluted share for the full year of 2021, compared to a GAAP net loss of $58.8 million, or $2.83</w:t>
      </w:r>
      <w:r>
        <w:rPr>
          <w:rFonts w:ascii="Arial" w:cs="Arial" w:eastAsia="Arial" w:hAnsi="Arial"/>
          <w:sz w:val="18"/>
          <w:szCs w:val="18"/>
          <w:b w:val="1"/>
          <w:bCs w:val="1"/>
          <w:color w:val="auto"/>
        </w:rPr>
        <w:t xml:space="preserve"> </w:t>
      </w:r>
      <w:r>
        <w:rPr>
          <w:rFonts w:ascii="Arial" w:cs="Arial" w:eastAsia="Arial" w:hAnsi="Arial"/>
          <w:sz w:val="18"/>
          <w:szCs w:val="18"/>
          <w:color w:val="auto"/>
        </w:rPr>
        <w:t>per diluted share, for the full year of 2020.</w:t>
      </w:r>
    </w:p>
    <w:p>
      <w:pPr>
        <w:spacing w:after="0" w:line="215" w:lineRule="exact"/>
        <w:rPr>
          <w:rFonts w:ascii="Arial" w:cs="Arial" w:eastAsia="Arial" w:hAnsi="Arial"/>
          <w:sz w:val="18"/>
          <w:szCs w:val="18"/>
          <w:color w:val="auto"/>
        </w:rPr>
      </w:pPr>
    </w:p>
    <w:p>
      <w:pPr>
        <w:ind w:left="860" w:right="120" w:hanging="488"/>
        <w:spacing w:after="0" w:line="28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Non-GAAP Net loss </w:t>
      </w:r>
      <w:r>
        <w:rPr>
          <w:rFonts w:ascii="Arial" w:cs="Arial" w:eastAsia="Arial" w:hAnsi="Arial"/>
          <w:sz w:val="18"/>
          <w:szCs w:val="18"/>
          <w:color w:val="auto"/>
        </w:rPr>
        <w:t>was $25.3 million or $0.22 per diluted share for the full year of 2021, compared to a non-GAAP net loss of $7.3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$0.07 per diluted share, for the full year of 2020.</w:t>
      </w:r>
    </w:p>
    <w:p>
      <w:pPr>
        <w:spacing w:after="0" w:line="215" w:lineRule="exact"/>
        <w:rPr>
          <w:rFonts w:ascii="Arial" w:cs="Arial" w:eastAsia="Arial" w:hAnsi="Arial"/>
          <w:sz w:val="18"/>
          <w:szCs w:val="18"/>
          <w:color w:val="auto"/>
        </w:rPr>
      </w:pPr>
    </w:p>
    <w:p>
      <w:pPr>
        <w:ind w:left="860" w:hanging="488"/>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was $(12.2) million for the full year of 2021, compared to Adjusted EBITDA of $4.3 million for the full year of 2020.</w:t>
      </w:r>
    </w:p>
    <w:p>
      <w:pPr>
        <w:spacing w:after="0" w:line="290" w:lineRule="exact"/>
        <w:rPr>
          <w:rFonts w:ascii="Arial" w:cs="Arial" w:eastAsia="Arial" w:hAnsi="Arial"/>
          <w:sz w:val="17"/>
          <w:szCs w:val="17"/>
          <w:color w:val="auto"/>
        </w:rPr>
      </w:pPr>
    </w:p>
    <w:p>
      <w:pPr>
        <w:ind w:left="860" w:hanging="488"/>
        <w:spacing w:after="0" w:line="28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cash provided (used in) operating activities </w:t>
      </w:r>
      <w:r>
        <w:rPr>
          <w:rFonts w:ascii="Arial" w:cs="Arial" w:eastAsia="Arial" w:hAnsi="Arial"/>
          <w:sz w:val="18"/>
          <w:szCs w:val="18"/>
          <w:color w:val="auto"/>
        </w:rPr>
        <w:t>was $(22.1) million for the full year of 2021, compared to $5.8 million provided by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in the full year of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Business Highlights:</w:t>
      </w:r>
    </w:p>
    <w:p>
      <w:pPr>
        <w:spacing w:after="0" w:line="283" w:lineRule="exact"/>
        <w:rPr>
          <w:sz w:val="20"/>
          <w:szCs w:val="20"/>
          <w:color w:val="auto"/>
        </w:rPr>
      </w:pPr>
    </w:p>
    <w:p>
      <w:pPr>
        <w:ind w:left="860" w:hanging="488"/>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Dollar Retention Rate of 120%, up from 103% in the fourth quarter of 2020.</w:t>
      </w:r>
    </w:p>
    <w:p>
      <w:pPr>
        <w:spacing w:after="0" w:line="23" w:lineRule="exact"/>
        <w:rPr>
          <w:rFonts w:ascii="Arial" w:cs="Arial" w:eastAsia="Arial" w:hAnsi="Arial"/>
          <w:sz w:val="18"/>
          <w:szCs w:val="18"/>
          <w:color w:val="auto"/>
        </w:rPr>
      </w:pPr>
    </w:p>
    <w:p>
      <w:pPr>
        <w:ind w:left="860" w:right="640" w:hanging="488"/>
        <w:spacing w:after="0" w:line="250"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75% year-over-year growth in number of customers over $1 million ARR and 25% year-over-year growth in number of customers over $100,000 ARR.</w:t>
      </w:r>
    </w:p>
    <w:p>
      <w:pPr>
        <w:ind w:left="860" w:right="700" w:hanging="488"/>
        <w:spacing w:after="0" w:line="250"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our events platform, automating the creation and management at scale of any size virtual and hybrid events across the entire organization, building on our success in powering flagship events.</w:t>
      </w:r>
    </w:p>
    <w:p>
      <w:pPr>
        <w:ind w:left="860" w:hanging="488"/>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Launched our new experience for the self-serve purchase of our Webinar, Virtual Classroom, and Media Services offerings through our website.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2022, Kaltura currently expects:</w:t>
      </w:r>
    </w:p>
    <w:p>
      <w:pPr>
        <w:spacing w:after="0" w:line="275" w:lineRule="exact"/>
        <w:rPr>
          <w:sz w:val="20"/>
          <w:szCs w:val="20"/>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Revenue </w:t>
      </w:r>
      <w:r>
        <w:rPr>
          <w:rFonts w:ascii="Arial" w:cs="Arial" w:eastAsia="Arial" w:hAnsi="Arial"/>
          <w:sz w:val="18"/>
          <w:szCs w:val="18"/>
          <w:color w:val="auto"/>
        </w:rPr>
        <w:t>to grow by 12%-15% year-over-year to between $36.2 million and $37.2 million.</w:t>
      </w:r>
    </w:p>
    <w:p>
      <w:pPr>
        <w:spacing w:after="0" w:line="27"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to grow by 5%-8% year-over-year to between $39.6 million and $40.7 million.</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to be negative in the range of $9 million to $12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ending December 31, 2022, Kaltura currently expects:</w:t>
      </w:r>
    </w:p>
    <w:p>
      <w:pPr>
        <w:spacing w:after="0" w:line="275" w:lineRule="exact"/>
        <w:rPr>
          <w:sz w:val="20"/>
          <w:szCs w:val="20"/>
          <w:color w:val="auto"/>
        </w:rPr>
      </w:pPr>
    </w:p>
    <w:p>
      <w:pPr>
        <w:ind w:left="860" w:hanging="48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Revenue </w:t>
      </w:r>
      <w:r>
        <w:rPr>
          <w:rFonts w:ascii="Arial" w:cs="Arial" w:eastAsia="Arial" w:hAnsi="Arial"/>
          <w:sz w:val="18"/>
          <w:szCs w:val="18"/>
          <w:color w:val="auto"/>
        </w:rPr>
        <w:t>to grow by 10%-13% year-over-year to between $159.5 million and $163.8 million.</w:t>
      </w:r>
    </w:p>
    <w:p>
      <w:pPr>
        <w:spacing w:after="0" w:line="27" w:lineRule="exact"/>
        <w:rPr>
          <w:rFonts w:ascii="Arial" w:cs="Arial" w:eastAsia="Arial" w:hAnsi="Arial"/>
          <w:sz w:val="18"/>
          <w:szCs w:val="18"/>
          <w:color w:val="auto"/>
        </w:rPr>
      </w:pPr>
    </w:p>
    <w:p>
      <w:pPr>
        <w:ind w:left="860" w:hanging="48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to grow by 5%-8% year-over-year to between $173.3 million and $178.2 million.</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to be negative in the range of $27 million to $32 million.</w:t>
      </w:r>
    </w:p>
    <w:p>
      <w:pPr>
        <w:spacing w:after="0" w:line="2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guidance provided above contains forward-looking statements and actual results may differ materially. Refer to “Forward-Looking Statements” below for information on the factors that could cause our actual results to differ materially from these forward-looking statements. Kaltura has not provided a quantitative reconciliation of forecasted Adjusted EBITDA to forecasted GAAP net loss within this press release because the Company is unable, without making unreasonable efforts, to calculate certain reconciling items with confidence. The reconciliation for Adjusted EBITDA includes but is not limited to the following items: stock-based compensation expenses, depreciation, amortization, financial expenses (income), net, provision for income tax, and other non-recurring operating expenses. These items, which could materially affect the computation of forward-looking GAAP net loss, are inherently uncertain and depend on various factors, some of which are outside of the Company’s control. The guidance above is based on current expectations relating to COVID-19 and its variants.</w:t>
      </w:r>
    </w:p>
    <w:p>
      <w:pPr>
        <w:spacing w:after="0" w:line="2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Additional information on Kaltura’s reported results, including a reconciliation of the non-GAAP financial measures to their most comparable GAAP measures, is included in the financial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Kaltura will host a conference call today on February 23, 2022 to review its fourth quarter and full year 2021 financial results and to discuss its financial outlook.</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Time:</w:t>
            </w:r>
          </w:p>
        </w:tc>
        <w:tc>
          <w:tcPr>
            <w:tcW w:w="1520" w:type="dxa"/>
            <w:vAlign w:val="bottom"/>
          </w:tcPr>
          <w:p>
            <w:pPr>
              <w:ind w:left="260"/>
              <w:spacing w:after="0"/>
              <w:rPr>
                <w:sz w:val="20"/>
                <w:szCs w:val="20"/>
                <w:color w:val="auto"/>
              </w:rPr>
            </w:pPr>
            <w:r>
              <w:rPr>
                <w:rFonts w:ascii="Arial" w:cs="Arial" w:eastAsia="Arial" w:hAnsi="Arial"/>
                <w:sz w:val="18"/>
                <w:szCs w:val="18"/>
                <w:color w:val="auto"/>
              </w:rPr>
              <w:t>8:00 a.m. ET</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w w:val="98"/>
              </w:rPr>
              <w:t>United States/Canada Toll Free:</w:t>
            </w:r>
          </w:p>
        </w:tc>
        <w:tc>
          <w:tcPr>
            <w:tcW w:w="1520" w:type="dxa"/>
            <w:vAlign w:val="bottom"/>
          </w:tcPr>
          <w:p>
            <w:pPr>
              <w:ind w:left="260"/>
              <w:spacing w:after="0"/>
              <w:rPr>
                <w:sz w:val="20"/>
                <w:szCs w:val="20"/>
                <w:color w:val="auto"/>
              </w:rPr>
            </w:pPr>
            <w:r>
              <w:rPr>
                <w:rFonts w:ascii="Arial" w:cs="Arial" w:eastAsia="Arial" w:hAnsi="Arial"/>
                <w:sz w:val="18"/>
                <w:szCs w:val="18"/>
                <w:color w:val="auto"/>
              </w:rPr>
              <w:t>877-407-0789</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International Toll:</w:t>
            </w:r>
          </w:p>
        </w:tc>
        <w:tc>
          <w:tcPr>
            <w:tcW w:w="1520" w:type="dxa"/>
            <w:vAlign w:val="bottom"/>
          </w:tcPr>
          <w:p>
            <w:pPr>
              <w:ind w:left="260"/>
              <w:spacing w:after="0"/>
              <w:rPr>
                <w:sz w:val="20"/>
                <w:szCs w:val="20"/>
                <w:color w:val="auto"/>
              </w:rPr>
            </w:pPr>
            <w:r>
              <w:rPr>
                <w:rFonts w:ascii="Arial" w:cs="Arial" w:eastAsia="Arial" w:hAnsi="Arial"/>
                <w:sz w:val="18"/>
                <w:szCs w:val="18"/>
                <w:color w:val="auto"/>
                <w:w w:val="89"/>
              </w:rPr>
              <w:t>+1-201-689-8562</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Conference ID:</w:t>
            </w:r>
          </w:p>
        </w:tc>
        <w:tc>
          <w:tcPr>
            <w:tcW w:w="1520" w:type="dxa"/>
            <w:vAlign w:val="bottom"/>
          </w:tcPr>
          <w:p>
            <w:pPr>
              <w:ind w:left="260"/>
              <w:spacing w:after="0"/>
              <w:rPr>
                <w:sz w:val="20"/>
                <w:szCs w:val="20"/>
                <w:color w:val="auto"/>
              </w:rPr>
            </w:pPr>
            <w:r>
              <w:rPr>
                <w:rFonts w:ascii="Arial" w:cs="Arial" w:eastAsia="Arial" w:hAnsi="Arial"/>
                <w:sz w:val="18"/>
                <w:szCs w:val="18"/>
                <w:color w:val="auto"/>
              </w:rPr>
              <w:t>13726386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live webcast will also be available in the Investor Relations section of Kaltura’s website at: </w:t>
      </w:r>
      <w:r>
        <w:rPr>
          <w:rFonts w:ascii="Arial" w:cs="Arial" w:eastAsia="Arial" w:hAnsi="Arial"/>
          <w:sz w:val="17"/>
          <w:szCs w:val="17"/>
          <w:u w:val="single" w:color="auto"/>
          <w:color w:val="auto"/>
        </w:rPr>
        <w:t>https://investors.kaltura.com/news-and-events/events</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of the webcast will be available in the Investor Relations section of the company’s web site approximately two hours after the conclusion of the call and remain available for approximately 30 calendar days.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Kaltura</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Kaltura’s mission is to power any video experience for any organization. Our Video Experience Cloud offers live, real-time, and on-demand video products for enterprises of all industries, as well as specialized industry solutions, currently for educational institutions and for media and telecom companies. Underlying our products and solutions is a broad set of Media Services that are also used by other cloud platforms and companies to power video experiences and workflows for their own products. Kaltura’s Video Experience Cloud is used by leading brands reaching millions of users, at home, at school and at work, for communication, collaboration, training, marketing, sales, customer care, teaching, learning, virtual events, and entertainment experiences.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Kaltura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Yaron Garmazi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IR@Kaltura.com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Sapphire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Erica Mannion and Michael Funari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+1 617 542 6180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IR@Kaltura.com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Kaltura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pr.team@kaltura.com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Headline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Raanan Loew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raanan@headline.media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+1 347 897 9276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our future financial and operating performance, including our guidance; our business strategy, plans and objectives for future operations; the expected effect of new releases on our business and financial performance; and general business conditions, including as a result of the pandemic related to COVID-19 and its variants.</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Any forward-looking statements contained herein are based on our historical performance and our current plans, estimates and expectations and are not a representation that such plans, estimates, or expectations will be achieved. These forward-looking statements represent our expectations as of the date of this press release. Subsequent events may cause these expectations to change, and we disclaim any obligation to update the forward-looking statements in the future, except as required by law. These forward-looking statements are subject to known and unknown risks and uncertainties that may cause actual results to differ materially from our current expectations. Important factors that could cause actual results to differ materially from those anticipated in our forward-looking statements include, but are not limited to, our ability to manage and sustain our rapid growth; our ability to achieve and maintain profitability; the ongoing pandemic related to COVID-19 and its variants; the evolution of the markets for our offerings; the quarterly fluctuation in our results of operations; our ability to retain our customers; our ability to keep pace with technological and competitive developments; our ability to maintain the interoperability of our offerings across devices, operating systems and third-party applications; our reliance on third parties; our ability to retain our key personnel; risks related to our international operations; and the other risks under the caption “Risk Factors” in our Quarterly Report on Form 10-Q for the quarterly period ended September 30, 2021, filed with the Securities and Exchange Commission (“SEC”), as such factors may be updated from time to time in our other filings with the SEC, which are accessible on the SEC’s website at www.sec.gov and the Investor Relations page of our website at investors.kaltura.com.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57"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Kaltura has provided in this press release and the accompanying tables measures of financial information that have not been prepared in accordance with generally accepted accounting principles in the U.S. ("GAAP"), including non-GAAP gross profit, non-GAAP gross margin (calculated as a percentage of revenue), non-GAAP research and development expenses, non-GAAP sales and marketing expenses, non-GAAP general and administrative expenses, non-GAAP operating loss, non-GAAP operating margin (calculated as a percentage of revenue), non-GAAP net loss, non-GAAP net loss per share and Adjusted EBITDA. Kaltura defines these non-GAAP financial measures as the respective corresponding GAAP measure, adjusted for, as applicable: (1) preferred stock accretion and cumulative undeclared dividends; (2) stock-based compensation; (3) the amortization of acquired intangibles; (4) abandonment costs (5) gain on sale of property and equipment (6) other non-recurring operating expenses; and (7) remeasurement of warrants to fair value. Kaltura defines EBITDA as net profit (loss) before financial expenses, net, provision for income taxes, and depreciation and amortization expenses. Adjusted EBITDA is defined as EBITDA (as defined above), adjusted for the impact of certain non-cash and other non-recurring items that we believe are not indicative of our core operating performance, such as non-cash stock-based compensation expenses, abandonment costs, gain from sale of property and equipment, and other non-recurring operating expenses. We believe these non-GAAP financial measures provide useful information to management and investors regarding certain financial and business trends relating to Kaltura’s financial condition and results of operations. These non-GAAP metrics are a supplemental measure of our performance, are not defined by or presented in accordance with GAAP, and should not be considered in isolation or as an alternative to net profit (loss) or any other performance measure prepared in accordance with GAAP. Non-GAAP financial measures are presented because we believe that they provide useful supplemental information to investors and analysts regarding our operating performance and are frequently used by these parties in evaluating companies in our industry. By presenting these non-GAAP financial measures,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these non-GAAP financial measures as supplemental measures of our performance because they assist us in comparing the operating performance of our business on a consistent basis between periods, as described above. Although we use the non-GAAP financial measures described above, such measures have significant limitations as analytical tools and only supplement but do not replace, our financial statements in accordance with GAAP. See the tables below regarding reconciliations of these non-GAAP financial measures to the most directly comparable GAAP measures.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Annualized Recurring Revenue. </w:t>
      </w:r>
      <w:r>
        <w:rPr>
          <w:rFonts w:ascii="Arial" w:cs="Arial" w:eastAsia="Arial" w:hAnsi="Arial"/>
          <w:sz w:val="16"/>
          <w:szCs w:val="16"/>
          <w:color w:val="auto"/>
        </w:rPr>
        <w:t>We use Annualized Recurring Revenue (“ARR”) as a measure of our revenue trend and an indicator of our future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w:t>
      </w:r>
    </w:p>
    <w:p>
      <w:pPr>
        <w:spacing w:after="0" w:line="4" w:lineRule="exact"/>
        <w:rPr>
          <w:sz w:val="20"/>
          <w:szCs w:val="20"/>
          <w:color w:val="auto"/>
        </w:rPr>
      </w:pPr>
    </w:p>
    <w:p>
      <w:pPr>
        <w:jc w:val="both"/>
        <w:ind w:firstLine="8"/>
        <w:spacing w:after="0" w:line="270"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Recurring revenue excludes revenue from one-time professional services and setup fees. ARR is not adjusted for the impact of any known or projected future customer cancellations, upgrades or downgrades or price increases or decreases. The amount of actual revenue that we recognize over any 12-month period is likely to differ from ARR at the beginning of that period, sometimes significantly. This may occur due to new bookings, cancellations, upgrades or downgrades, pending renewals, foreign exchange rate fluctuations, professional services revenue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Net Dollar Retention Rate. </w:t>
      </w:r>
      <w:r>
        <w:rPr>
          <w:rFonts w:ascii="Arial" w:cs="Arial" w:eastAsia="Arial" w:hAnsi="Arial"/>
          <w:sz w:val="17"/>
          <w:szCs w:val="17"/>
          <w:color w:val="auto"/>
        </w:rPr>
        <w:t>Our Net Dollar Retention Rate, which we use to measure our success in retaining and growing recurring revenue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Remaining Performance Obligations. </w:t>
      </w:r>
      <w:r>
        <w:rPr>
          <w:rFonts w:ascii="Arial" w:cs="Arial" w:eastAsia="Arial" w:hAnsi="Arial"/>
          <w:sz w:val="16"/>
          <w:szCs w:val="16"/>
          <w:color w:val="auto"/>
        </w:rPr>
        <w:t>Remaining Performance Obligations represents the amount of contracted future revenue that has not yet been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including both subscription and professional services revenues. Remaining Performance Obligations consists of both deferred revenue and contracted non-cancelable amounts that will be invoiced and recognized in future periods. We expect to recognize 57% of our Remaining Performance Obligations as revenue over the next 12 months,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38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27,711</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17,134</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Deferred contract acquisition and fulfillment costs, current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6"/>
        </w:trPr>
        <w:tc>
          <w:tcPr>
            <w:tcW w:w="868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175,647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53,462</w:t>
            </w:r>
          </w:p>
        </w:tc>
      </w:tr>
      <w:tr>
        <w:trPr>
          <w:trHeight w:val="28"/>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Other assets, noncurrent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and fulfillment costs, noncurrent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15,876</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noncurrent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47,646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37,492</w:t>
            </w:r>
          </w:p>
        </w:tc>
      </w:tr>
      <w:tr>
        <w:trPr>
          <w:trHeight w:val="216"/>
        </w:trPr>
        <w:tc>
          <w:tcPr>
            <w:tcW w:w="380" w:type="dxa"/>
            <w:vAlign w:val="bottom"/>
            <w:tcBorders>
              <w:top w:val="single" w:sz="8" w:color="auto"/>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223,293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90,954</w:t>
            </w:r>
          </w:p>
        </w:tc>
      </w:tr>
      <w:tr>
        <w:trPr>
          <w:trHeight w:val="210"/>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LIABILITIES, CONVERTIBLE AND REDEEMABLE CONVERTIBLE PREFERRED STOCK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16,275</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11,251</w:t>
            </w: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Deferred revenue, current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47,685</w:t>
            </w:r>
          </w:p>
        </w:tc>
        <w:tc>
          <w:tcPr>
            <w:tcW w:w="100" w:type="dxa"/>
            <w:vAlign w:val="bottom"/>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175"/>
        </w:trPr>
        <w:tc>
          <w:tcPr>
            <w:tcW w:w="868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98,086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82,994</w:t>
            </w:r>
          </w:p>
        </w:tc>
      </w:tr>
      <w:tr>
        <w:trPr>
          <w:trHeight w:val="28"/>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2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Long-term loans, net of current portion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47,160</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 noncurrent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Warrants to purchase preferred and common stock</w:t>
            </w:r>
          </w:p>
        </w:tc>
        <w:tc>
          <w:tcPr>
            <w:tcW w:w="2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56,780</w:t>
            </w: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2"/>
          </w:tcPr>
          <w:p>
            <w:pPr>
              <w:spacing w:after="0" w:line="176" w:lineRule="exact"/>
              <w:rPr>
                <w:sz w:val="20"/>
                <w:szCs w:val="20"/>
                <w:color w:val="auto"/>
              </w:rPr>
            </w:pPr>
            <w:r>
              <w:rPr>
                <w:rFonts w:ascii="Arial" w:cs="Arial" w:eastAsia="Arial" w:hAnsi="Arial"/>
                <w:sz w:val="18"/>
                <w:szCs w:val="18"/>
                <w:color w:val="auto"/>
              </w:rPr>
              <w:t>Total noncurrent liabilities</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39,933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108,504</w:t>
            </w:r>
          </w:p>
        </w:tc>
      </w:tr>
      <w:tr>
        <w:trPr>
          <w:trHeight w:val="28"/>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138,019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191,498</w:t>
            </w:r>
          </w:p>
        </w:tc>
      </w:tr>
      <w:tr>
        <w:trPr>
          <w:trHeight w:val="21"/>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6"/>
        </w:trPr>
        <w:tc>
          <w:tcPr>
            <w:tcW w:w="3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(U.S. dollars in thousands, except for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158,191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mezzanine equity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160,112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(4,881)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Receivables on account of stock</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(322,634)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(263,283)</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85,274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(260,656)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CONVERTIBLE AND REDEEMABLE CONVERTIBLE PREFERRED STOCK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223,293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90,954</w:t>
            </w:r>
          </w:p>
        </w:tc>
      </w:tr>
      <w:tr>
        <w:trPr>
          <w:trHeight w:val="446"/>
        </w:trPr>
        <w:tc>
          <w:tcPr>
            <w:tcW w:w="86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Consolidated Statements of Operations (U.S. dollars in thousands, except for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8"/>
                <w:szCs w:val="18"/>
                <w:color w:val="auto"/>
              </w:rPr>
            </w:pPr>
          </w:p>
        </w:tc>
        <w:tc>
          <w:tcPr>
            <w:tcW w:w="2340" w:type="dxa"/>
            <w:vAlign w:val="bottom"/>
            <w:gridSpan w:val="5"/>
          </w:tcPr>
          <w:p>
            <w:pPr>
              <w:ind w:left="200"/>
              <w:spacing w:after="0"/>
              <w:rPr>
                <w:sz w:val="20"/>
                <w:szCs w:val="20"/>
                <w:color w:val="auto"/>
              </w:rPr>
            </w:pPr>
            <w:r>
              <w:rPr>
                <w:rFonts w:ascii="Arial" w:cs="Arial" w:eastAsia="Arial" w:hAnsi="Arial"/>
                <w:sz w:val="18"/>
                <w:szCs w:val="18"/>
                <w:b w:val="1"/>
                <w:bCs w:val="1"/>
                <w:color w:val="auto"/>
              </w:rPr>
              <w:t>Twelve months ended</w:t>
            </w: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0"/>
                <w:szCs w:val="20"/>
                <w:color w:val="auto"/>
              </w:rPr>
            </w:pPr>
          </w:p>
        </w:tc>
        <w:tc>
          <w:tcPr>
            <w:tcW w:w="234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Subscription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104,064</w:t>
            </w:r>
          </w:p>
        </w:tc>
      </w:tr>
      <w:tr>
        <w:trPr>
          <w:trHeight w:val="223"/>
        </w:trPr>
        <w:tc>
          <w:tcPr>
            <w:tcW w:w="20" w:type="dxa"/>
            <w:vAlign w:val="bottom"/>
          </w:tcPr>
          <w:p>
            <w:pPr>
              <w:spacing w:after="0"/>
              <w:rPr>
                <w:sz w:val="19"/>
                <w:szCs w:val="19"/>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6,174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20,050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16,376</w:t>
            </w:r>
          </w:p>
        </w:tc>
      </w:tr>
      <w:tr>
        <w:trPr>
          <w:trHeight w:val="216"/>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5960" w:type="dxa"/>
            <w:vAlign w:val="bottom"/>
            <w:gridSpan w:val="4"/>
          </w:tcPr>
          <w:p>
            <w:pPr>
              <w:spacing w:after="0" w:line="176" w:lineRule="exact"/>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42,716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35,177</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165,016</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120,440</w:t>
            </w:r>
          </w:p>
        </w:tc>
      </w:tr>
      <w:tr>
        <w:trPr>
          <w:trHeight w:val="28"/>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Subscription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8,749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39,866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28,486</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19,179</w:t>
            </w:r>
          </w:p>
        </w:tc>
      </w:tr>
      <w:tr>
        <w:trPr>
          <w:trHeight w:val="216"/>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15,943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13,946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62,314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47,665</w:t>
            </w:r>
          </w:p>
        </w:tc>
      </w:tr>
      <w:tr>
        <w:trPr>
          <w:trHeight w:val="216"/>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21,231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102,702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72,775</w:t>
            </w:r>
          </w:p>
        </w:tc>
      </w:tr>
      <w:tr>
        <w:trPr>
          <w:trHeight w:val="216"/>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29,567</w:t>
            </w:r>
          </w:p>
        </w:tc>
      </w:tr>
      <w:tr>
        <w:trPr>
          <w:trHeight w:val="216"/>
        </w:trPr>
        <w:tc>
          <w:tcPr>
            <w:tcW w:w="20" w:type="dxa"/>
            <w:vAlign w:val="bottom"/>
          </w:tcPr>
          <w:p>
            <w:pPr>
              <w:spacing w:after="0"/>
              <w:rPr>
                <w:sz w:val="18"/>
                <w:szCs w:val="18"/>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45,788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29,475</w:t>
            </w: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22,222</w:t>
            </w:r>
          </w:p>
        </w:tc>
      </w:tr>
      <w:tr>
        <w:trPr>
          <w:trHeight w:val="223"/>
        </w:trPr>
        <w:tc>
          <w:tcPr>
            <w:tcW w:w="20" w:type="dxa"/>
            <w:vAlign w:val="bottom"/>
          </w:tcPr>
          <w:p>
            <w:pPr>
              <w:spacing w:after="0"/>
              <w:rPr>
                <w:sz w:val="19"/>
                <w:szCs w:val="19"/>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9"/>
                <w:szCs w:val="19"/>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960" w:type="dxa"/>
            <w:vAlign w:val="bottom"/>
            <w:gridSpan w:val="4"/>
          </w:tcPr>
          <w:p>
            <w:pPr>
              <w:spacing w:after="0" w:line="176" w:lineRule="exact"/>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39,202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22,508</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135,377</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81,264</w:t>
            </w:r>
          </w:p>
        </w:tc>
      </w:tr>
      <w:tr>
        <w:trPr>
          <w:trHeight w:val="28"/>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32,675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8,489</w:t>
            </w:r>
          </w:p>
        </w:tc>
      </w:tr>
      <w:tr>
        <w:trPr>
          <w:trHeight w:val="216"/>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Financial expenses,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33,913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46,721</w:t>
            </w:r>
          </w:p>
        </w:tc>
      </w:tr>
      <w:tr>
        <w:trPr>
          <w:trHeight w:val="216"/>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35,190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52,781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55,210</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w:t>
            </w:r>
          </w:p>
        </w:tc>
      </w:tr>
      <w:tr>
        <w:trPr>
          <w:trHeight w:val="216"/>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36,339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59,351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58,763</w:t>
            </w:r>
          </w:p>
        </w:tc>
      </w:tr>
      <w:tr>
        <w:trPr>
          <w:trHeight w:val="216"/>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 stock accretion and cumulative undeclared dividends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11,934</w:t>
            </w:r>
          </w:p>
        </w:tc>
      </w:tr>
      <w:tr>
        <w:trPr>
          <w:trHeight w:val="216"/>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70,697</w:t>
            </w:r>
          </w:p>
        </w:tc>
      </w:tr>
      <w:tr>
        <w:trPr>
          <w:trHeight w:val="210"/>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20" w:type="dxa"/>
            <w:vAlign w:val="bottom"/>
            <w:shd w:val="clear" w:color="auto" w:fill="CCEEFF"/>
          </w:tcPr>
          <w:p>
            <w:pPr>
              <w:spacing w:after="0"/>
              <w:rPr>
                <w:sz w:val="22"/>
                <w:szCs w:val="22"/>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r>
      <w:tr>
        <w:trPr>
          <w:trHeight w:val="210"/>
        </w:trPr>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shares used in computing basic and diluted net loss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20" w:type="dxa"/>
            <w:vAlign w:val="bottom"/>
            <w:shd w:val="clear" w:color="auto" w:fill="CCEEFF"/>
          </w:tcPr>
          <w:p>
            <w:pPr>
              <w:spacing w:after="0"/>
              <w:rPr>
                <w:sz w:val="23"/>
                <w:szCs w:val="23"/>
                <w:color w:val="auto"/>
              </w:rPr>
            </w:pPr>
          </w:p>
        </w:tc>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 share attributable to common stockholders</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127,465,080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25,342,216</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71,073,052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24,939,901</w:t>
            </w:r>
          </w:p>
        </w:tc>
      </w:tr>
      <w:tr>
        <w:trPr>
          <w:trHeight w:val="446"/>
        </w:trPr>
        <w:tc>
          <w:tcPr>
            <w:tcW w:w="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Consolidated Statements of Operations (U.S. dollars in thousands, except for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Stock-based compensation included in above line items: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980" w:type="dxa"/>
            <w:vAlign w:val="bottom"/>
          </w:tcPr>
          <w:p>
            <w:pPr>
              <w:spacing w:after="0"/>
              <w:rPr>
                <w:sz w:val="24"/>
                <w:szCs w:val="24"/>
                <w:color w:val="auto"/>
              </w:rPr>
            </w:pPr>
          </w:p>
        </w:tc>
        <w:tc>
          <w:tcPr>
            <w:tcW w:w="272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9"/>
              </w:rPr>
              <w:t>Three months ended December</w:t>
            </w:r>
          </w:p>
        </w:tc>
        <w:tc>
          <w:tcPr>
            <w:tcW w:w="240" w:type="dxa"/>
            <w:vAlign w:val="bottom"/>
          </w:tcPr>
          <w:p>
            <w:pPr>
              <w:spacing w:after="0"/>
              <w:rPr>
                <w:sz w:val="24"/>
                <w:szCs w:val="24"/>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Twelve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1"/>
              </w:rPr>
              <w:t>(unaudited)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1,251</w:t>
            </w:r>
          </w:p>
        </w:tc>
      </w:tr>
      <w:tr>
        <w:trPr>
          <w:trHeight w:val="216"/>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r>
      <w:tr>
        <w:trPr>
          <w:trHeight w:val="223"/>
        </w:trPr>
        <w:tc>
          <w:tcPr>
            <w:tcW w:w="598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11,217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1,889</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4,156</w:t>
            </w:r>
          </w:p>
        </w:tc>
        <w:tc>
          <w:tcPr>
            <w:tcW w:w="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 by Segment (U.S.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December 31,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Enterprise, Education and Technology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80,449</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Media and Telecom</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11,749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10,897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46,084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39,991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42,716</w:t>
            </w:r>
          </w:p>
        </w:tc>
        <w:tc>
          <w:tcPr>
            <w:tcW w:w="26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35,178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165,016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120,440</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by Segment (U.S. dollars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December 31,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Enterprise, Education and Technology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58,539</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Media and Telecom</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3,918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18,506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14,236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26,773</w:t>
            </w:r>
          </w:p>
        </w:tc>
        <w:tc>
          <w:tcPr>
            <w:tcW w:w="26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21,231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102,702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72,775</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 of Cash Flows (U.S.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Twelve months ended</w:t>
            </w:r>
          </w:p>
        </w:tc>
      </w:tr>
      <w:tr>
        <w:trPr>
          <w:trHeight w:val="241"/>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6"/>
        </w:trPr>
        <w:tc>
          <w:tcPr>
            <w:tcW w:w="26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operating activities:</w:t>
            </w:r>
          </w:p>
        </w:tc>
        <w:tc>
          <w:tcPr>
            <w:tcW w:w="6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8680" w:type="dxa"/>
            <w:vAlign w:val="bottom"/>
            <w:gridSpan w:val="3"/>
          </w:tcPr>
          <w:p>
            <w:pPr>
              <w:ind w:left="1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(59,351)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(58,763)</w:t>
            </w:r>
          </w:p>
        </w:tc>
      </w:tr>
      <w:tr>
        <w:trPr>
          <w:trHeight w:val="216"/>
        </w:trPr>
        <w:tc>
          <w:tcPr>
            <w:tcW w:w="8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Depreciation, amortization, and abandonment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7,677</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Amortization of deferred contract acquisition and fulfillment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4,231</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valuation of warrants to purchase preferred and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41,505</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Non-cash interest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Non-cash expenses with respect to stockholders’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Increase in trade receivables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(6,274)</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Increase in prepaid expenses and other current assets and other assets,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Increase in deferred contract acquisition and fulfillment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(18,051)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(12,947)</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Increase in trade payables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Increase in accrued expenses and other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4,964</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Increase in employees and payroll accruals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Increase (decrease) in other liabilities, noncurrent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Increase in 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w:t>
            </w: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cash acquired in business combination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Capitalized internal-use software development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(3,978)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(1,849)</w:t>
            </w:r>
          </w:p>
        </w:tc>
      </w:tr>
      <w:tr>
        <w:trPr>
          <w:trHeight w:val="223"/>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Purchase of intangible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w:t>
            </w: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w w:val="93"/>
              </w:rPr>
              <w:t>Payment related to the conversion of Series F redeemable convertible preferred stock upon initial public offering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Proceeds from long-term loans, net of debt issuance cost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Repayment of long-term loans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(51,833)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w:t>
            </w: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23"/>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Payment of deferred offering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(1,847)</w:t>
            </w: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Cash, cash equivalents and restricted cash at the beginning of the year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28,355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27,144</w:t>
            </w: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Cash, cash equivalents and restricted cash at the end of the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144,371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28,355</w:t>
            </w:r>
          </w:p>
        </w:tc>
      </w:tr>
      <w:tr>
        <w:trPr>
          <w:trHeight w:val="21"/>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6"/>
        </w:trPr>
        <w:tc>
          <w:tcPr>
            <w:tcW w:w="2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Reconciliation from GAAP to Non-GAAP Results (U.S.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Three Months</w:t>
            </w:r>
          </w:p>
        </w:tc>
        <w:tc>
          <w:tcPr>
            <w:tcW w:w="160" w:type="dxa"/>
            <w:vAlign w:val="bottom"/>
          </w:tcPr>
          <w:p>
            <w:pPr>
              <w:spacing w:after="0"/>
              <w:rPr>
                <w:sz w:val="18"/>
                <w:szCs w:val="18"/>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Twelve Months</w:t>
            </w:r>
          </w:p>
        </w:tc>
      </w:tr>
      <w:tr>
        <w:trPr>
          <w:trHeight w:val="241"/>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Ended December 31,</w:t>
            </w:r>
          </w:p>
        </w:tc>
        <w:tc>
          <w:tcPr>
            <w:tcW w:w="160" w:type="dxa"/>
            <w:vAlign w:val="bottom"/>
          </w:tcPr>
          <w:p>
            <w:pPr>
              <w:spacing w:after="0"/>
              <w:rPr>
                <w:sz w:val="20"/>
                <w:szCs w:val="20"/>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Ended December 31,</w:t>
            </w:r>
          </w:p>
        </w:tc>
      </w:tr>
      <w:tr>
        <w:trPr>
          <w:trHeight w:val="223"/>
        </w:trPr>
        <w:tc>
          <w:tcPr>
            <w:tcW w:w="5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gross profit and gross margin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GAAP 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26,773</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21,231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102,702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72,775</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r>
      <w:tr>
        <w:trPr>
          <w:trHeight w:val="223"/>
        </w:trPr>
        <w:tc>
          <w:tcPr>
            <w:tcW w:w="5620" w:type="dxa"/>
            <w:vAlign w:val="bottom"/>
          </w:tcPr>
          <w:p>
            <w:pPr>
              <w:ind w:left="24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9"/>
                <w:szCs w:val="19"/>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r>
      <w:tr>
        <w:trPr>
          <w:trHeight w:val="25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27,123</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104,143</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8"/>
                <w:szCs w:val="18"/>
                <w:b w:val="1"/>
                <w:bCs w:val="1"/>
                <w:color w:val="auto"/>
              </w:rPr>
              <w:t>GAAP gross margin</w:t>
            </w:r>
          </w:p>
        </w:tc>
        <w:tc>
          <w:tcPr>
            <w:tcW w:w="16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gross margin</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Reconciliation of operating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48,376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29,567</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2,798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1,251</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Non-GAAP 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12,780</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8,451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45,578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28,316</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sales and marketing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w:t>
            </w:r>
          </w:p>
        </w:tc>
        <w:tc>
          <w:tcPr>
            <w:tcW w:w="220" w:type="dxa"/>
            <w:vAlign w:val="bottom"/>
            <w:shd w:val="clear" w:color="auto" w:fill="CCEEFF"/>
          </w:tcPr>
          <w:p>
            <w:pPr>
              <w:spacing w:after="0"/>
              <w:rPr>
                <w:sz w:val="18"/>
                <w:szCs w:val="18"/>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2,173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1,639</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r>
      <w:tr>
        <w:trPr>
          <w:trHeight w:val="27"/>
        </w:trPr>
        <w:tc>
          <w:tcPr>
            <w:tcW w:w="5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Non-GAAP sales and marketing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13,201</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7,074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43,174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27,457</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220" w:type="dxa"/>
            <w:vAlign w:val="bottom"/>
            <w:shd w:val="clear" w:color="auto" w:fill="CCEEFF"/>
          </w:tcPr>
          <w:p>
            <w:pPr>
              <w:spacing w:after="0"/>
              <w:rPr>
                <w:sz w:val="18"/>
                <w:szCs w:val="18"/>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11,217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1,889</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Abandonment costs</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3,969</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Non-GAAP 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9,196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4,730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29,029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16,364</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operating income (loss) and operating margin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GAAP operating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(12,429)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(32,675)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(8,489)</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17,065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5,114</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Abandonment costs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3,969</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Other operating expenses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Non-GAAP operating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(8,054)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(13,638)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1,511</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margin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Non-GAAP operating margin</w:t>
            </w:r>
          </w:p>
        </w:tc>
        <w:tc>
          <w:tcPr>
            <w:tcW w:w="16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loss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GAAP net loss attributable to common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15,925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39,557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67,592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70,697</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Preferred stock accretion and cumulative undeclared dividends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8,241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11,934</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2,280</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17,065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5,114</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acquired intangibles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Abandonment costs</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3,969</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240"/>
              <w:spacing w:after="0" w:line="216" w:lineRule="exact"/>
              <w:rPr>
                <w:sz w:val="20"/>
                <w:szCs w:val="20"/>
                <w:color w:val="auto"/>
              </w:rPr>
            </w:pPr>
            <w:r>
              <w:rPr>
                <w:rFonts w:ascii="Arial" w:cs="Arial" w:eastAsia="Arial" w:hAnsi="Arial"/>
                <w:sz w:val="16"/>
                <w:szCs w:val="16"/>
                <w:color w:val="auto"/>
              </w:rPr>
              <w:t>Other operating expenses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1,724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Remeasurement of warrants to fair value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31,471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15,046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41,505</w:t>
            </w:r>
          </w:p>
        </w:tc>
      </w:tr>
      <w:tr>
        <w:trPr>
          <w:trHeight w:val="27"/>
        </w:trPr>
        <w:tc>
          <w:tcPr>
            <w:tcW w:w="5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Non-GAAP net loss attributable to common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11,550</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2,329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25,268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7,258</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Non-GAAP net loss per share -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Shares used in non-GAAP per share calculations: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GAAP weighted-average shares used to compute net income per share -</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127,465,080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25,342,216</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71,073,052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24,939,901</w:t>
            </w:r>
          </w:p>
        </w:tc>
      </w:tr>
      <w:tr>
        <w:trPr>
          <w:trHeight w:val="192"/>
        </w:trPr>
        <w:tc>
          <w:tcPr>
            <w:tcW w:w="5620" w:type="dxa"/>
            <w:vAlign w:val="bottom"/>
          </w:tcPr>
          <w:p>
            <w:pPr>
              <w:spacing w:after="0" w:line="192" w:lineRule="exact"/>
              <w:rPr>
                <w:sz w:val="20"/>
                <w:szCs w:val="20"/>
                <w:color w:val="auto"/>
              </w:rPr>
            </w:pPr>
            <w:r>
              <w:rPr>
                <w:rFonts w:ascii="Arial" w:cs="Arial" w:eastAsia="Arial" w:hAnsi="Arial"/>
                <w:sz w:val="18"/>
                <w:szCs w:val="18"/>
                <w:color w:val="auto"/>
                <w:w w:val="93"/>
              </w:rPr>
              <w:t>Additional shares giving effect to conversion of convertible and redeemable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7"/>
        </w:trPr>
        <w:tc>
          <w:tcPr>
            <w:tcW w:w="5620" w:type="dxa"/>
            <w:vAlign w:val="bottom"/>
          </w:tcPr>
          <w:p>
            <w:pPr>
              <w:spacing w:after="0" w:line="240" w:lineRule="exact"/>
              <w:rPr>
                <w:sz w:val="20"/>
                <w:szCs w:val="20"/>
                <w:color w:val="auto"/>
              </w:rPr>
            </w:pPr>
            <w:r>
              <w:rPr>
                <w:rFonts w:ascii="Arial" w:cs="Arial" w:eastAsia="Arial" w:hAnsi="Arial"/>
                <w:sz w:val="17"/>
                <w:szCs w:val="17"/>
                <w:color w:val="auto"/>
              </w:rPr>
              <w:t>convertible preferred shares at the beginning of the period</w:t>
            </w:r>
            <w:r>
              <w:rPr>
                <w:rFonts w:ascii="Arial" w:cs="Arial" w:eastAsia="Arial" w:hAnsi="Arial"/>
                <w:sz w:val="27"/>
                <w:szCs w:val="27"/>
                <w:color w:val="auto"/>
                <w:vertAlign w:val="superscript"/>
              </w:rPr>
              <w:t>2</w:t>
            </w:r>
          </w:p>
        </w:tc>
        <w:tc>
          <w:tcPr>
            <w:tcW w:w="160" w:type="dxa"/>
            <w:vAlign w:val="bottom"/>
          </w:tcPr>
          <w:p>
            <w:pPr>
              <w:spacing w:after="0"/>
              <w:rPr>
                <w:sz w:val="21"/>
                <w:szCs w:val="21"/>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76,141,393</w:t>
            </w:r>
          </w:p>
        </w:tc>
        <w:tc>
          <w:tcPr>
            <w:tcW w:w="160" w:type="dxa"/>
            <w:vAlign w:val="bottom"/>
          </w:tcPr>
          <w:p>
            <w:pPr>
              <w:spacing w:after="0"/>
              <w:rPr>
                <w:sz w:val="21"/>
                <w:szCs w:val="21"/>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42,404,076</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76,141,393</w:t>
            </w:r>
          </w:p>
        </w:tc>
      </w:tr>
      <w:tr>
        <w:trPr>
          <w:trHeight w:val="198"/>
        </w:trPr>
        <w:tc>
          <w:tcPr>
            <w:tcW w:w="5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Weighted average number of ordinary shares outstanding used in</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55"/>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computing basic and diluted net loss per share (non-GAAP)</w:t>
            </w:r>
          </w:p>
        </w:tc>
        <w:tc>
          <w:tcPr>
            <w:tcW w:w="160" w:type="dxa"/>
            <w:vAlign w:val="bottom"/>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127,465,080</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101,483,609</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3"/>
              </w:rPr>
              <w:t>113,477,128</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101,081,294</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64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80" w:firstLine="8"/>
        <w:spacing w:after="0" w:line="202" w:lineRule="auto"/>
        <w:tabs>
          <w:tab w:leader="none" w:pos="12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Other operating expenses in the year ended December 31, 2021 consisted of expenses related to the forgiveness of loans to certain of our directors and executive officers in connection with the public filing of the registration statement in connection with our initial public offering.</w:t>
      </w:r>
    </w:p>
    <w:p>
      <w:pPr>
        <w:spacing w:after="0" w:line="1" w:lineRule="exact"/>
        <w:rPr>
          <w:rFonts w:ascii="Arial" w:cs="Arial" w:eastAsia="Arial" w:hAnsi="Arial"/>
          <w:sz w:val="29"/>
          <w:szCs w:val="29"/>
          <w:color w:val="auto"/>
          <w:vertAlign w:val="superscript"/>
        </w:rPr>
      </w:pPr>
    </w:p>
    <w:p>
      <w:pPr>
        <w:ind w:right="420"/>
        <w:spacing w:after="0" w:line="191"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Assumes shares of common stock outstanding after accounting for the automatic conversion of the convertible and redeemable convertible preferred stock then outstanding into shares of common stock at the beginning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EBITDA (U.S.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980" w:type="dxa"/>
            <w:vAlign w:val="bottom"/>
          </w:tcPr>
          <w:p>
            <w:pPr>
              <w:spacing w:after="0"/>
              <w:rPr>
                <w:sz w:val="24"/>
                <w:szCs w:val="24"/>
                <w:color w:val="auto"/>
              </w:rPr>
            </w:pPr>
          </w:p>
        </w:tc>
        <w:tc>
          <w:tcPr>
            <w:tcW w:w="27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Three months ended December</w:t>
            </w:r>
          </w:p>
        </w:tc>
        <w:tc>
          <w:tcPr>
            <w:tcW w:w="240" w:type="dxa"/>
            <w:vAlign w:val="bottom"/>
          </w:tcPr>
          <w:p>
            <w:pPr>
              <w:spacing w:after="0"/>
              <w:rPr>
                <w:sz w:val="24"/>
                <w:szCs w:val="24"/>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4"/>
              </w:rPr>
              <w:t>Twelve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(58,763)</w:t>
            </w:r>
          </w:p>
        </w:tc>
      </w:tr>
      <w:tr>
        <w:trPr>
          <w:trHeight w:val="216"/>
        </w:trPr>
        <w:tc>
          <w:tcPr>
            <w:tcW w:w="5980" w:type="dxa"/>
            <w:vAlign w:val="bottom"/>
          </w:tcPr>
          <w:p>
            <w:pPr>
              <w:spacing w:after="0" w:line="216" w:lineRule="exact"/>
              <w:rPr>
                <w:sz w:val="20"/>
                <w:szCs w:val="20"/>
                <w:color w:val="auto"/>
              </w:rPr>
            </w:pPr>
            <w:r>
              <w:rPr>
                <w:rFonts w:ascii="Arial" w:cs="Arial" w:eastAsia="Arial" w:hAnsi="Arial"/>
                <w:sz w:val="16"/>
                <w:szCs w:val="16"/>
                <w:color w:val="auto"/>
              </w:rPr>
              <w:t xml:space="preserve">Financial expenses, net </w:t>
            </w:r>
            <w:r>
              <w:rPr>
                <w:rFonts w:ascii="Arial" w:cs="Arial" w:eastAsia="Arial" w:hAnsi="Arial"/>
                <w:sz w:val="25"/>
                <w:szCs w:val="25"/>
                <w:color w:val="auto"/>
                <w:vertAlign w:val="superscript"/>
              </w:rPr>
              <w:t>(a)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33,913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2,412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3,708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Non-cash 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Abandonment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(7,656)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4,302</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820" w:right="20" w:hanging="488"/>
        <w:spacing w:after="0" w:line="34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three months ended December 31, 2021 and 2020, and the twelve months ended December 31, 2021 and 2020 include $0, $31,471, $15,046 and $41,505, respectively, of remeasurement of warrants to fair value, and $751, $1,374, $2,979 and $4,091, respectively, of interest expenses.</w:t>
      </w:r>
    </w:p>
    <w:p>
      <w:pPr>
        <w:spacing w:after="0" w:line="177" w:lineRule="exact"/>
        <w:rPr>
          <w:rFonts w:ascii="Arial" w:cs="Arial" w:eastAsia="Arial" w:hAnsi="Arial"/>
          <w:sz w:val="16"/>
          <w:szCs w:val="16"/>
          <w:color w:val="auto"/>
        </w:rPr>
      </w:pPr>
    </w:p>
    <w:p>
      <w:pPr>
        <w:ind w:left="820" w:right="240" w:hanging="488"/>
        <w:spacing w:after="0" w:line="34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operating expenses in the year ended December 31, 2021 consisted of expenses related to the forgiveness of loans to certain of our directors and executive officers in connection with the public filing of the registration statement in connection with our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Reported KPIs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8"/>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5"/>
              </w:rPr>
              <w:t>(U.S. dollars</w:t>
            </w:r>
          </w:p>
        </w:tc>
        <w:tc>
          <w:tcPr>
            <w:tcW w:w="220" w:type="dxa"/>
            <w:vAlign w:val="bottom"/>
          </w:tcPr>
          <w:p>
            <w:pPr>
              <w:spacing w:after="0"/>
              <w:rPr>
                <w:sz w:val="17"/>
                <w:szCs w:val="17"/>
                <w:color w:val="auto"/>
              </w:rPr>
            </w:pPr>
          </w:p>
        </w:tc>
        <w:tc>
          <w:tcPr>
            <w:tcW w:w="1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amounts in</w:t>
            </w: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6"/>
              </w:rPr>
              <w:t>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Annualized Recurring Revenue</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116,643</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Remaining Performance Obligations</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185,484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140,955</w:t>
            </w:r>
          </w:p>
        </w:tc>
      </w:tr>
      <w:tr>
        <w:trPr>
          <w:trHeight w:val="453"/>
        </w:trPr>
        <w:tc>
          <w:tcPr>
            <w:tcW w:w="8680" w:type="dxa"/>
            <w:vAlign w:val="bottom"/>
          </w:tcPr>
          <w:p>
            <w:pPr>
              <w:spacing w:after="0"/>
              <w:rPr>
                <w:sz w:val="24"/>
                <w:szCs w:val="24"/>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Three months ended December</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left="830"/>
              <w:spacing w:after="0"/>
              <w:rPr>
                <w:sz w:val="20"/>
                <w:szCs w:val="20"/>
                <w:color w:val="auto"/>
              </w:rPr>
            </w:pPr>
            <w:r>
              <w:rPr>
                <w:rFonts w:ascii="Arial" w:cs="Arial" w:eastAsia="Arial" w:hAnsi="Arial"/>
                <w:sz w:val="18"/>
                <w:szCs w:val="18"/>
                <w:b w:val="1"/>
                <w:bCs w:val="1"/>
                <w:color w:val="auto"/>
                <w:w w:val="87"/>
              </w:rPr>
              <w:t>31,</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Dollar Retention Rate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r>
      <w:tr>
        <w:trPr>
          <w:trHeight w:val="378"/>
        </w:trPr>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365"/>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2022-02-23T05:47:17Z</dcterms:created>
  <dcterms:modified xsi:type="dcterms:W3CDTF">2022-02-23T05:47:17Z</dcterms:modified>
</cp:coreProperties>
</file>