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18, 2021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Kaltura,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0"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530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001-40644</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20-8128326</w:t>
            </w:r>
          </w:p>
        </w:tc>
      </w:tr>
      <w:tr>
        <w:trPr>
          <w:trHeight w:val="216"/>
        </w:trPr>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30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(IRS Employer</w:t>
            </w:r>
          </w:p>
        </w:tc>
      </w:tr>
      <w:tr>
        <w:trPr>
          <w:trHeight w:val="220"/>
        </w:trPr>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of Incorporation)</w:t>
            </w:r>
          </w:p>
        </w:tc>
        <w:tc>
          <w:tcPr>
            <w:tcW w:w="5300" w:type="dxa"/>
            <w:vAlign w:val="bottom"/>
          </w:tcPr>
          <w:p>
            <w:pPr>
              <w:jc w:val="center"/>
              <w:ind w:right="79"/>
              <w:spacing w:after="0"/>
              <w:rPr>
                <w:sz w:val="20"/>
                <w:szCs w:val="20"/>
                <w:color w:val="auto"/>
              </w:rPr>
            </w:pPr>
            <w:r>
              <w:rPr>
                <w:rFonts w:ascii="Arial" w:cs="Arial" w:eastAsia="Arial" w:hAnsi="Arial"/>
                <w:sz w:val="18"/>
                <w:szCs w:val="18"/>
                <w:b w:val="1"/>
                <w:bCs w:val="1"/>
                <w:color w:val="auto"/>
                <w:w w:val="94"/>
              </w:rPr>
              <w:t>File Number)</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Identification No.)</w:t>
            </w:r>
          </w:p>
        </w:tc>
      </w:tr>
      <w:tr>
        <w:trPr>
          <w:trHeight w:val="266"/>
        </w:trPr>
        <w:tc>
          <w:tcPr>
            <w:tcW w:w="2280" w:type="dxa"/>
            <w:vAlign w:val="bottom"/>
          </w:tcPr>
          <w:p>
            <w:pPr>
              <w:spacing w:after="0"/>
              <w:rPr>
                <w:sz w:val="23"/>
                <w:szCs w:val="23"/>
                <w:color w:val="auto"/>
              </w:rPr>
            </w:pPr>
          </w:p>
        </w:tc>
        <w:tc>
          <w:tcPr>
            <w:tcW w:w="5300" w:type="dxa"/>
            <w:vAlign w:val="bottom"/>
          </w:tcPr>
          <w:p>
            <w:pPr>
              <w:jc w:val="center"/>
              <w:ind w:right="119"/>
              <w:spacing w:after="0"/>
              <w:rPr>
                <w:sz w:val="20"/>
                <w:szCs w:val="20"/>
                <w:color w:val="auto"/>
              </w:rPr>
            </w:pPr>
            <w:r>
              <w:rPr>
                <w:rFonts w:ascii="Arial" w:cs="Arial" w:eastAsia="Arial" w:hAnsi="Arial"/>
                <w:sz w:val="22"/>
                <w:szCs w:val="22"/>
                <w:b w:val="1"/>
                <w:bCs w:val="1"/>
                <w:color w:val="auto"/>
                <w:w w:val="88"/>
              </w:rPr>
              <w:t>250 Park Avenue South</w:t>
            </w:r>
          </w:p>
        </w:tc>
        <w:tc>
          <w:tcPr>
            <w:tcW w:w="1720" w:type="dxa"/>
            <w:vAlign w:val="bottom"/>
          </w:tcPr>
          <w:p>
            <w:pPr>
              <w:spacing w:after="0"/>
              <w:rPr>
                <w:sz w:val="23"/>
                <w:szCs w:val="23"/>
                <w:color w:val="auto"/>
              </w:rPr>
            </w:pPr>
          </w:p>
        </w:tc>
      </w:tr>
      <w:tr>
        <w:trPr>
          <w:trHeight w:val="274"/>
        </w:trPr>
        <w:tc>
          <w:tcPr>
            <w:tcW w:w="2280" w:type="dxa"/>
            <w:vAlign w:val="bottom"/>
          </w:tcPr>
          <w:p>
            <w:pPr>
              <w:spacing w:after="0"/>
              <w:rPr>
                <w:sz w:val="23"/>
                <w:szCs w:val="23"/>
                <w:color w:val="auto"/>
              </w:rPr>
            </w:pPr>
          </w:p>
        </w:tc>
        <w:tc>
          <w:tcPr>
            <w:tcW w:w="5300" w:type="dxa"/>
            <w:vAlign w:val="bottom"/>
          </w:tcPr>
          <w:p>
            <w:pPr>
              <w:jc w:val="center"/>
              <w:ind w:right="99"/>
              <w:spacing w:after="0" w:line="274" w:lineRule="exact"/>
              <w:rPr>
                <w:sz w:val="20"/>
                <w:szCs w:val="20"/>
                <w:color w:val="auto"/>
              </w:rPr>
            </w:pPr>
            <w:r>
              <w:rPr>
                <w:rFonts w:ascii="Arial" w:cs="Arial" w:eastAsia="Arial" w:hAnsi="Arial"/>
                <w:sz w:val="20"/>
                <w:szCs w:val="20"/>
                <w:b w:val="1"/>
                <w:bCs w:val="1"/>
                <w:color w:val="auto"/>
                <w:w w:val="96"/>
              </w:rPr>
              <w:t>10</w:t>
            </w:r>
            <w:r>
              <w:rPr>
                <w:rFonts w:ascii="Arial" w:cs="Arial" w:eastAsia="Arial" w:hAnsi="Arial"/>
                <w:sz w:val="31"/>
                <w:szCs w:val="31"/>
                <w:b w:val="1"/>
                <w:bCs w:val="1"/>
                <w:color w:val="auto"/>
                <w:w w:val="96"/>
                <w:vertAlign w:val="superscript"/>
              </w:rPr>
              <w:t>th</w:t>
            </w:r>
            <w:r>
              <w:rPr>
                <w:rFonts w:ascii="Arial" w:cs="Arial" w:eastAsia="Arial" w:hAnsi="Arial"/>
                <w:sz w:val="20"/>
                <w:szCs w:val="20"/>
                <w:b w:val="1"/>
                <w:bCs w:val="1"/>
                <w:color w:val="auto"/>
                <w:w w:val="96"/>
              </w:rPr>
              <w:t xml:space="preserve"> Floor</w:t>
            </w:r>
          </w:p>
        </w:tc>
        <w:tc>
          <w:tcPr>
            <w:tcW w:w="1720" w:type="dxa"/>
            <w:vAlign w:val="bottom"/>
          </w:tcPr>
          <w:p>
            <w:pPr>
              <w:spacing w:after="0"/>
              <w:rPr>
                <w:sz w:val="23"/>
                <w:szCs w:val="23"/>
                <w:color w:val="auto"/>
              </w:rPr>
            </w:pPr>
          </w:p>
        </w:tc>
      </w:tr>
      <w:tr>
        <w:trPr>
          <w:trHeight w:val="270"/>
        </w:trPr>
        <w:tc>
          <w:tcPr>
            <w:tcW w:w="2280" w:type="dxa"/>
            <w:vAlign w:val="bottom"/>
          </w:tcPr>
          <w:p>
            <w:pPr>
              <w:spacing w:after="0"/>
              <w:rPr>
                <w:sz w:val="23"/>
                <w:szCs w:val="23"/>
                <w:color w:val="auto"/>
              </w:rPr>
            </w:pPr>
          </w:p>
        </w:tc>
        <w:tc>
          <w:tcPr>
            <w:tcW w:w="5300" w:type="dxa"/>
            <w:vAlign w:val="bottom"/>
          </w:tcPr>
          <w:p>
            <w:pPr>
              <w:jc w:val="center"/>
              <w:ind w:right="99"/>
              <w:spacing w:after="0"/>
              <w:rPr>
                <w:sz w:val="20"/>
                <w:szCs w:val="20"/>
                <w:color w:val="auto"/>
              </w:rPr>
            </w:pPr>
            <w:r>
              <w:rPr>
                <w:rFonts w:ascii="Arial" w:cs="Arial" w:eastAsia="Arial" w:hAnsi="Arial"/>
                <w:sz w:val="22"/>
                <w:szCs w:val="22"/>
                <w:b w:val="1"/>
                <w:bCs w:val="1"/>
                <w:color w:val="auto"/>
                <w:w w:val="90"/>
              </w:rPr>
              <w:t>New York, New York 10003</w:t>
            </w:r>
          </w:p>
        </w:tc>
        <w:tc>
          <w:tcPr>
            <w:tcW w:w="1720" w:type="dxa"/>
            <w:vAlign w:val="bottom"/>
          </w:tcPr>
          <w:p>
            <w:pPr>
              <w:spacing w:after="0"/>
              <w:rPr>
                <w:sz w:val="23"/>
                <w:szCs w:val="23"/>
                <w:color w:val="auto"/>
              </w:rPr>
            </w:pPr>
          </w:p>
        </w:tc>
      </w:tr>
      <w:tr>
        <w:trPr>
          <w:trHeight w:val="280"/>
        </w:trPr>
        <w:tc>
          <w:tcPr>
            <w:tcW w:w="2280" w:type="dxa"/>
            <w:vAlign w:val="bottom"/>
          </w:tcPr>
          <w:p>
            <w:pPr>
              <w:spacing w:after="0"/>
              <w:rPr>
                <w:sz w:val="24"/>
                <w:szCs w:val="24"/>
                <w:color w:val="auto"/>
              </w:rPr>
            </w:pPr>
          </w:p>
        </w:tc>
        <w:tc>
          <w:tcPr>
            <w:tcW w:w="5300" w:type="dxa"/>
            <w:vAlign w:val="bottom"/>
          </w:tcPr>
          <w:p>
            <w:pPr>
              <w:jc w:val="center"/>
              <w:ind w:right="99"/>
              <w:spacing w:after="0"/>
              <w:rPr>
                <w:sz w:val="20"/>
                <w:szCs w:val="20"/>
                <w:color w:val="auto"/>
              </w:rPr>
            </w:pPr>
            <w:r>
              <w:rPr>
                <w:rFonts w:ascii="Arial" w:cs="Arial" w:eastAsia="Arial" w:hAnsi="Arial"/>
                <w:sz w:val="22"/>
                <w:szCs w:val="22"/>
                <w:b w:val="1"/>
                <w:bCs w:val="1"/>
                <w:color w:val="auto"/>
                <w:w w:val="88"/>
              </w:rPr>
              <w:t>(Address of Principal Executive Offices) (Zip Code)</w:t>
            </w:r>
          </w:p>
        </w:tc>
        <w:tc>
          <w:tcPr>
            <w:tcW w:w="1720" w:type="dxa"/>
            <w:vAlign w:val="bottom"/>
          </w:tcPr>
          <w:p>
            <w:pPr>
              <w:spacing w:after="0"/>
              <w:rPr>
                <w:sz w:val="24"/>
                <w:szCs w:val="24"/>
                <w:color w:val="auto"/>
              </w:rPr>
            </w:pPr>
          </w:p>
        </w:tc>
      </w:tr>
      <w:tr>
        <w:trPr>
          <w:trHeight w:val="530"/>
        </w:trPr>
        <w:tc>
          <w:tcPr>
            <w:tcW w:w="2280" w:type="dxa"/>
            <w:vAlign w:val="bottom"/>
          </w:tcPr>
          <w:p>
            <w:pPr>
              <w:spacing w:after="0"/>
              <w:rPr>
                <w:sz w:val="24"/>
                <w:szCs w:val="24"/>
                <w:color w:val="auto"/>
              </w:rPr>
            </w:pPr>
          </w:p>
        </w:tc>
        <w:tc>
          <w:tcPr>
            <w:tcW w:w="5300" w:type="dxa"/>
            <w:vAlign w:val="bottom"/>
          </w:tcPr>
          <w:p>
            <w:pPr>
              <w:jc w:val="center"/>
              <w:ind w:right="119"/>
              <w:spacing w:after="0"/>
              <w:rPr>
                <w:sz w:val="20"/>
                <w:szCs w:val="20"/>
                <w:color w:val="auto"/>
              </w:rPr>
            </w:pPr>
            <w:r>
              <w:rPr>
                <w:rFonts w:ascii="Arial" w:cs="Arial" w:eastAsia="Arial" w:hAnsi="Arial"/>
                <w:sz w:val="22"/>
                <w:szCs w:val="22"/>
                <w:b w:val="1"/>
                <w:bCs w:val="1"/>
                <w:color w:val="auto"/>
                <w:w w:val="90"/>
              </w:rPr>
              <w:t>(646) 290-5445</w:t>
            </w:r>
          </w:p>
        </w:tc>
        <w:tc>
          <w:tcPr>
            <w:tcW w:w="1720" w:type="dxa"/>
            <w:vAlign w:val="bottom"/>
          </w:tcPr>
          <w:p>
            <w:pPr>
              <w:spacing w:after="0"/>
              <w:rPr>
                <w:sz w:val="24"/>
                <w:szCs w:val="24"/>
                <w:color w:val="auto"/>
              </w:rPr>
            </w:pPr>
          </w:p>
        </w:tc>
      </w:tr>
      <w:tr>
        <w:trPr>
          <w:trHeight w:val="280"/>
        </w:trPr>
        <w:tc>
          <w:tcPr>
            <w:tcW w:w="2280" w:type="dxa"/>
            <w:vAlign w:val="bottom"/>
          </w:tcPr>
          <w:p>
            <w:pPr>
              <w:spacing w:after="0"/>
              <w:rPr>
                <w:sz w:val="24"/>
                <w:szCs w:val="24"/>
                <w:color w:val="auto"/>
              </w:rPr>
            </w:pPr>
          </w:p>
        </w:tc>
        <w:tc>
          <w:tcPr>
            <w:tcW w:w="5300" w:type="dxa"/>
            <w:vAlign w:val="bottom"/>
          </w:tcPr>
          <w:p>
            <w:pPr>
              <w:jc w:val="center"/>
              <w:ind w:right="59"/>
              <w:spacing w:after="0"/>
              <w:rPr>
                <w:sz w:val="20"/>
                <w:szCs w:val="20"/>
                <w:color w:val="auto"/>
              </w:rPr>
            </w:pPr>
            <w:r>
              <w:rPr>
                <w:rFonts w:ascii="Arial" w:cs="Arial" w:eastAsia="Arial" w:hAnsi="Arial"/>
                <w:sz w:val="22"/>
                <w:szCs w:val="22"/>
                <w:b w:val="1"/>
                <w:bCs w:val="1"/>
                <w:color w:val="auto"/>
                <w:w w:val="87"/>
              </w:rPr>
              <w:t>(Registrant’s telephone number, including area code)</w:t>
            </w:r>
          </w:p>
        </w:tc>
        <w:tc>
          <w:tcPr>
            <w:tcW w:w="1720" w:type="dxa"/>
            <w:vAlign w:val="bottom"/>
          </w:tcPr>
          <w:p>
            <w:pPr>
              <w:spacing w:after="0"/>
              <w:rPr>
                <w:sz w:val="24"/>
                <w:szCs w:val="24"/>
                <w:color w:val="auto"/>
              </w:rPr>
            </w:pPr>
          </w:p>
        </w:tc>
      </w:tr>
    </w:tbl>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83" w:lineRule="exact"/>
        <w:rPr>
          <w:sz w:val="24"/>
          <w:szCs w:val="24"/>
          <w:color w:val="auto"/>
        </w:rPr>
      </w:pPr>
    </w:p>
    <w:p>
      <w:pPr>
        <w:ind w:right="40"/>
        <w:spacing w:after="0" w:line="257"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rPr>
              <w:t>KLTR</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44" w:lineRule="exact"/>
        <w:rPr>
          <w:sz w:val="24"/>
          <w:szCs w:val="24"/>
          <w:color w:val="auto"/>
        </w:rPr>
      </w:pPr>
    </w:p>
    <w:p>
      <w:pPr>
        <w:ind w:right="380"/>
        <w:spacing w:after="0" w:line="35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27" w:lineRule="exact"/>
        <w:rPr>
          <w:sz w:val="24"/>
          <w:szCs w:val="24"/>
          <w:color w:val="auto"/>
        </w:rPr>
      </w:pPr>
    </w:p>
    <w:p>
      <w:pPr>
        <w:ind w:right="140"/>
        <w:spacing w:after="0" w:line="28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Conditions.</w:t>
      </w:r>
    </w:p>
    <w:p>
      <w:pPr>
        <w:spacing w:after="0" w:line="293" w:lineRule="exact"/>
        <w:rPr>
          <w:sz w:val="20"/>
          <w:szCs w:val="20"/>
          <w:color w:val="auto"/>
        </w:rPr>
      </w:pPr>
    </w:p>
    <w:p>
      <w:pPr>
        <w:ind w:right="500"/>
        <w:spacing w:after="0" w:line="358" w:lineRule="auto"/>
        <w:rPr>
          <w:sz w:val="20"/>
          <w:szCs w:val="20"/>
          <w:color w:val="auto"/>
        </w:rPr>
      </w:pPr>
      <w:r>
        <w:rPr>
          <w:rFonts w:ascii="Arial" w:cs="Arial" w:eastAsia="Arial" w:hAnsi="Arial"/>
          <w:sz w:val="19"/>
          <w:szCs w:val="19"/>
          <w:color w:val="auto"/>
        </w:rPr>
        <w:t>On August 18, 2021, Kaltura, Inc. (the Company) issued a press release announcing its financial results for the three and six months ended June 30, 2021. A copy of the press release is furnished as Exhibit 99.1 to this Current Report on Form 8-K.</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(the Securities Act), or the Exchange Act, regardless of any general incorporation language in such filings, unless expressly incorporated by specific reference in such filing.</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9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7" w:lineRule="exact"/>
        <w:rPr>
          <w:sz w:val="20"/>
          <w:szCs w:val="20"/>
          <w:color w:val="auto"/>
        </w:rPr>
      </w:pPr>
    </w:p>
    <w:p>
      <w:pPr>
        <w:spacing w:after="0"/>
        <w:tabs>
          <w:tab w:leader="none" w:pos="10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u w:val="single" w:color="auto"/>
          <w:color w:val="auto"/>
        </w:rPr>
        <w:t>SIGNATURE</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KALTURA, INC.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Name:Yaron Garmazi</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August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165100</wp:posOffset>
            </wp:positionV>
            <wp:extent cx="224599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Kaltura Announces Financial Results for Second Quarter 2021</w:t>
      </w:r>
    </w:p>
    <w:p>
      <w:pPr>
        <w:spacing w:after="0" w:line="293" w:lineRule="exact"/>
        <w:rPr>
          <w:sz w:val="20"/>
          <w:szCs w:val="20"/>
          <w:color w:val="auto"/>
        </w:rPr>
      </w:pPr>
    </w:p>
    <w:p>
      <w:pPr>
        <w:ind w:right="220"/>
        <w:spacing w:after="0" w:line="358" w:lineRule="auto"/>
        <w:rPr>
          <w:sz w:val="20"/>
          <w:szCs w:val="20"/>
          <w:color w:val="auto"/>
        </w:rPr>
      </w:pPr>
      <w:r>
        <w:rPr>
          <w:rFonts w:ascii="Arial" w:cs="Arial" w:eastAsia="Arial" w:hAnsi="Arial"/>
          <w:sz w:val="19"/>
          <w:szCs w:val="19"/>
          <w:color w:val="auto"/>
        </w:rPr>
        <w:t>NEW YORK, August 18, 2021-- Kaltura, Inc. (“Kaltura” or the “Company”), the video experience cloud, today announced reported financial results for the second quarter ended June 30, 2021, as well as outlook for the third quarter and full year 2021.</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“The continued acceleration of our year-over-year subscription revenue growth to 46% in the second quarter of 2021 was</w:t>
      </w:r>
    </w:p>
    <w:p>
      <w:pPr>
        <w:spacing w:after="0" w:line="33"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color w:val="auto"/>
        </w:rPr>
        <w:t>fueled by our strong and steady sales force productivity and increasing net dollar retention rates,” said Ron Yekutiel, Co-founder, Chairman and Chief Executive Officer of Kaltura. “This is a result of the growing dependence of organizations on video communications and workflows for their internal operations, for engaging customers, and increasingly for powering their core offerings. After years of investment in our platform, products, and solutions with a limited increase in go-to-market spend, we are now excited to build on our broad product and tech foundation and materially expand our sales and marketing efforts and initiatives. We look forward to continuing to build shareholder value as we execute on our mission - to Power any Video Experience, for any Organization!”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Highlights:</w:t>
      </w:r>
    </w:p>
    <w:p>
      <w:pPr>
        <w:spacing w:after="0" w:line="2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for the second quarter of 2021 was $41.6 million, an increase of 45% compared to $28.7 million for the second quarter of 2020.</w:t>
      </w:r>
    </w:p>
    <w:p>
      <w:pPr>
        <w:spacing w:after="0" w:line="290" w:lineRule="exact"/>
        <w:rPr>
          <w:rFonts w:ascii="Arial" w:cs="Arial" w:eastAsia="Arial" w:hAnsi="Arial"/>
          <w:sz w:val="17"/>
          <w:szCs w:val="17"/>
          <w:color w:val="auto"/>
        </w:rPr>
      </w:pPr>
    </w:p>
    <w:p>
      <w:pPr>
        <w:ind w:left="660" w:right="1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revenue </w:t>
      </w:r>
      <w:r>
        <w:rPr>
          <w:rFonts w:ascii="Arial" w:cs="Arial" w:eastAsia="Arial" w:hAnsi="Arial"/>
          <w:sz w:val="18"/>
          <w:szCs w:val="18"/>
          <w:color w:val="auto"/>
        </w:rPr>
        <w:t>for the second quarter of 2021 was $36.5 million, an increase of 46% compared to $25.0 million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215"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Annualized Recurring Revenue (ARR) </w:t>
      </w:r>
      <w:r>
        <w:rPr>
          <w:rFonts w:ascii="Arial" w:cs="Arial" w:eastAsia="Arial" w:hAnsi="Arial"/>
          <w:sz w:val="18"/>
          <w:szCs w:val="18"/>
          <w:color w:val="auto"/>
        </w:rPr>
        <w:t>for the second quarter of 2021 was $145.4 million, an increase of 46% compared to $99.6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2020.</w:t>
      </w:r>
    </w:p>
    <w:p>
      <w:pPr>
        <w:spacing w:after="0" w:line="215" w:lineRule="exact"/>
        <w:rPr>
          <w:rFonts w:ascii="Arial" w:cs="Arial" w:eastAsia="Arial" w:hAnsi="Arial"/>
          <w:sz w:val="18"/>
          <w:szCs w:val="18"/>
          <w:color w:val="auto"/>
        </w:rPr>
      </w:pPr>
    </w:p>
    <w:p>
      <w:pPr>
        <w:ind w:left="660" w:right="40" w:hanging="328"/>
        <w:spacing w:after="0" w:line="30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for the second quarter of 2021 was $26.0 million representing a gross margin of 62% compared to a gross profit of $18.0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gross margin of 62% for the second quarter of 2020. Gross profit for the second quarter of 2021 includes the impact of $0.2 million in stock-based compensation expenses and $0.2 million in amortization of acquired intangible assets. Gross profit for the second quarter of 2020 includes the impact of $0.1 million in stock-based compensation expenses and $0.2 million in amortization of acquired intangible assets.</w:t>
      </w:r>
    </w:p>
    <w:p>
      <w:pPr>
        <w:spacing w:after="0" w:line="204" w:lineRule="exact"/>
        <w:rPr>
          <w:rFonts w:ascii="Arial" w:cs="Arial" w:eastAsia="Arial" w:hAnsi="Arial"/>
          <w:sz w:val="16"/>
          <w:szCs w:val="16"/>
          <w:color w:val="auto"/>
        </w:rPr>
      </w:pPr>
    </w:p>
    <w:p>
      <w:pPr>
        <w:ind w:left="660" w:right="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$5.8 million for the second quarter of 2021, compared to an income of $1.1 million for the second quarter of 2020.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loss for the second quarter of 2021 includes the impact of $4.2 million in stock-based compensation expenses and $0.3 million in amortization of acquired intangible assets. Operating income for the second quarter of 2020 includes the impact of $1.1 million in stock-based compensation expenses and $0.3 million in amortization of acquired intangible assets.</w:t>
      </w:r>
    </w:p>
    <w:p>
      <w:pPr>
        <w:spacing w:after="0" w:line="23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was $2.7 million or $0.37 per diluted share for the second quarter of 2021, compared to a net loss of $11.0 million, or $0.56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for the second quarter of 2020. Net loss for the second quarter of 2021 includes the impact of $4.2 million in stock-based compensation expenses, $0.3 million in amortization of acquired intangible assets, and ($5.9) million in income from remeasurement of warrants to fair value. Net loss for the second quarter of 2020 includes the impact of $1.1 million in stock-based compensation expenses, $0.3 million in amortization of acquired intangible assets, and $10.6 million in expenses from remeasurement of warrants to fair value.</w:t>
      </w:r>
    </w:p>
    <w:p>
      <w:pPr>
        <w:spacing w:after="0" w:line="221" w:lineRule="exact"/>
        <w:rPr>
          <w:rFonts w:ascii="Arial" w:cs="Arial" w:eastAsia="Arial" w:hAnsi="Arial"/>
          <w:sz w:val="17"/>
          <w:szCs w:val="17"/>
          <w:color w:val="auto"/>
        </w:rPr>
      </w:pPr>
    </w:p>
    <w:p>
      <w:pPr>
        <w:ind w:left="660" w:right="30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$(1.0) million for the second quarter of 2021, compared to adjusted EBITDA of $3.3 million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Adjusted EBITDA excludes stock-based compensation expenses, the amortization of acquired intangible assets, depreciation expenses, financial expenses/income and the provision for income taxes.</w:t>
      </w:r>
    </w:p>
    <w:p>
      <w:pPr>
        <w:spacing w:after="0" w:line="229" w:lineRule="exact"/>
        <w:rPr>
          <w:rFonts w:ascii="Arial" w:cs="Arial" w:eastAsia="Arial" w:hAnsi="Arial"/>
          <w:sz w:val="18"/>
          <w:szCs w:val="18"/>
          <w:color w:val="auto"/>
        </w:rPr>
      </w:pPr>
    </w:p>
    <w:p>
      <w:pPr>
        <w:ind w:left="660" w:right="40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was $0.9 million for the second quarter of 2021, compared to $2.8 million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in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Second Quarter 2021 Business Highlights:</w:t>
      </w:r>
    </w:p>
    <w:p>
      <w:pPr>
        <w:spacing w:after="0" w:line="2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Another robust quarter of new bookings, sales force productivity, and increasing Net Dollar Retention Rates.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momentum with selling our Virtual Events product. ‘Kaltura Virtually Live’ will take place on November 9th – a virtual Kaltura-led industry event on the topic of the future of events for marketers, business leaders, and Martech leaders.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Media &amp; Telecom new bookings accelerated after a flat year in 2020, which was primarily the result of a COVID-19-induced slowdown.</w:t>
      </w:r>
    </w:p>
    <w:p>
      <w:pPr>
        <w:spacing w:after="0" w:line="20"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technology innovation across our live, on-demand, and real-time stacks: rolled out new Kaltura live streaming infrastructure addressing growing scale and viewer concurrency, launched new Simulive capabilities, a new plugin for Zoom users, and new advanced capabilities for ‘breakout rooms’ and polls during real-time conferencing.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Welcomed new partners to our tech partner marketplace, which currently consists of over 125 companies.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For the third quarter of 2021, Kaltura currently expects:</w:t>
      </w:r>
    </w:p>
    <w:p>
      <w:pPr>
        <w:spacing w:after="0" w:line="27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$41.5 million to $42.5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negative in the range of $6.5 million to $4.5 million</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For the full year ending December 31, 2021, Kaltura currently expects:</w:t>
      </w:r>
    </w:p>
    <w:p>
      <w:pPr>
        <w:spacing w:after="0" w:line="2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$162.5 million to $164.5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negative in the range of $17.8 million to $14.8 million</w:t>
      </w:r>
    </w:p>
    <w:p>
      <w:pPr>
        <w:spacing w:after="0" w:line="271"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color w:val="auto"/>
        </w:rPr>
        <w:t>The guidance provided above are forward-looking statements and actual results may differ materially. Refer to “Forward-Looking Statements” below for information on the factors that could cause our actual results to differ materially from these forward-looking statements. Kaltura has not provided a quantitative reconciliation of forecasted Adjusted EBITDA to forecasted GAAP net income (loss) within this press release because the Company is unable, without making unreasonable efforts, to calculate certain reconciling items with confidence. These items include, but are not limited to, stock-based compensation expenses, financial expenses (income), net, and provision for income tax. These items, which could materially affect the computation of forward-looking GAAP net income (loss), are inherently uncertain and depend on various factors, some of which are outside of the Company’s control. The guidance above is based on current expectations relating to COVID-19 and its variants.</w:t>
      </w:r>
    </w:p>
    <w:p>
      <w:pPr>
        <w:spacing w:after="0" w:line="253" w:lineRule="exact"/>
        <w:rPr>
          <w:sz w:val="20"/>
          <w:szCs w:val="20"/>
          <w:color w:val="auto"/>
        </w:rPr>
      </w:pPr>
    </w:p>
    <w:p>
      <w:pPr>
        <w:ind w:right="200"/>
        <w:spacing w:after="0" w:line="266" w:lineRule="auto"/>
        <w:rPr>
          <w:sz w:val="20"/>
          <w:szCs w:val="20"/>
          <w:color w:val="auto"/>
        </w:rPr>
      </w:pPr>
      <w:r>
        <w:rPr>
          <w:rFonts w:ascii="Arial" w:cs="Arial" w:eastAsia="Arial" w:hAnsi="Arial"/>
          <w:sz w:val="22"/>
          <w:szCs w:val="22"/>
          <w:color w:val="auto"/>
        </w:rPr>
        <w:t>Adjusted EBITDA is a non-GAAP financial measure. Additional information on Kaltura’s reported results, including a reconciliation of the non-GAAP financial measure to their most comparable GAAP measures, is included in the financial tables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Kaltura will host a conference call today on August 18, 2021 to review its second quarter 2021 financial results and to discuss its financial outlook.</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00" w:type="dxa"/>
            <w:vAlign w:val="bottom"/>
          </w:tcPr>
          <w:p>
            <w:pPr>
              <w:ind w:left="660"/>
              <w:spacing w:after="0"/>
              <w:rPr>
                <w:sz w:val="20"/>
                <w:szCs w:val="20"/>
                <w:color w:val="auto"/>
              </w:rPr>
            </w:pPr>
            <w:r>
              <w:rPr>
                <w:rFonts w:ascii="Arial" w:cs="Arial" w:eastAsia="Arial" w:hAnsi="Arial"/>
                <w:sz w:val="18"/>
                <w:szCs w:val="18"/>
                <w:color w:val="auto"/>
              </w:rPr>
              <w:t>Time:</w:t>
            </w:r>
          </w:p>
        </w:tc>
        <w:tc>
          <w:tcPr>
            <w:tcW w:w="1720" w:type="dxa"/>
            <w:vAlign w:val="bottom"/>
          </w:tcPr>
          <w:p>
            <w:pPr>
              <w:ind w:left="460"/>
              <w:spacing w:after="0"/>
              <w:rPr>
                <w:sz w:val="20"/>
                <w:szCs w:val="20"/>
                <w:color w:val="auto"/>
              </w:rPr>
            </w:pPr>
            <w:r>
              <w:rPr>
                <w:rFonts w:ascii="Arial" w:cs="Arial" w:eastAsia="Arial" w:hAnsi="Arial"/>
                <w:sz w:val="18"/>
                <w:szCs w:val="18"/>
                <w:color w:val="auto"/>
              </w:rPr>
              <w:t>8:00 a.m. ET</w:t>
            </w:r>
          </w:p>
        </w:tc>
        <w:tc>
          <w:tcPr>
            <w:tcW w:w="0" w:type="dxa"/>
            <w:vAlign w:val="bottom"/>
          </w:tcPr>
          <w:p>
            <w:pPr>
              <w:spacing w:after="0"/>
              <w:rPr>
                <w:sz w:val="1"/>
                <w:szCs w:val="1"/>
                <w:color w:val="auto"/>
              </w:rPr>
            </w:pPr>
          </w:p>
        </w:tc>
      </w:tr>
      <w:tr>
        <w:trPr>
          <w:trHeight w:val="216"/>
        </w:trPr>
        <w:tc>
          <w:tcPr>
            <w:tcW w:w="3000" w:type="dxa"/>
            <w:vAlign w:val="bottom"/>
          </w:tcPr>
          <w:p>
            <w:pPr>
              <w:ind w:left="660"/>
              <w:spacing w:after="0"/>
              <w:rPr>
                <w:sz w:val="20"/>
                <w:szCs w:val="20"/>
                <w:color w:val="auto"/>
              </w:rPr>
            </w:pPr>
            <w:r>
              <w:rPr>
                <w:rFonts w:ascii="Arial" w:cs="Arial" w:eastAsia="Arial" w:hAnsi="Arial"/>
                <w:sz w:val="18"/>
                <w:szCs w:val="18"/>
                <w:color w:val="auto"/>
              </w:rPr>
              <w:t>United States/Canada Toll</w:t>
            </w:r>
          </w:p>
        </w:tc>
        <w:tc>
          <w:tcPr>
            <w:tcW w:w="1720" w:type="dxa"/>
            <w:vAlign w:val="bottom"/>
            <w:vMerge w:val="restart"/>
          </w:tcPr>
          <w:p>
            <w:pPr>
              <w:ind w:left="460"/>
              <w:spacing w:after="0"/>
              <w:rPr>
                <w:sz w:val="20"/>
                <w:szCs w:val="20"/>
                <w:color w:val="auto"/>
              </w:rPr>
            </w:pPr>
            <w:r>
              <w:rPr>
                <w:rFonts w:ascii="Arial" w:cs="Arial" w:eastAsia="Arial" w:hAnsi="Arial"/>
                <w:sz w:val="18"/>
                <w:szCs w:val="18"/>
                <w:color w:val="auto"/>
              </w:rPr>
              <w:t>877-407-0789</w:t>
            </w:r>
          </w:p>
        </w:tc>
        <w:tc>
          <w:tcPr>
            <w:tcW w:w="0" w:type="dxa"/>
            <w:vAlign w:val="bottom"/>
          </w:tcPr>
          <w:p>
            <w:pPr>
              <w:spacing w:after="0"/>
              <w:rPr>
                <w:sz w:val="1"/>
                <w:szCs w:val="1"/>
                <w:color w:val="auto"/>
              </w:rPr>
            </w:pPr>
          </w:p>
        </w:tc>
      </w:tr>
      <w:tr>
        <w:trPr>
          <w:trHeight w:val="122"/>
        </w:trPr>
        <w:tc>
          <w:tcPr>
            <w:tcW w:w="3000" w:type="dxa"/>
            <w:vAlign w:val="bottom"/>
            <w:vMerge w:val="restart"/>
          </w:tcPr>
          <w:p>
            <w:pPr>
              <w:spacing w:after="0"/>
              <w:rPr>
                <w:sz w:val="20"/>
                <w:szCs w:val="20"/>
                <w:color w:val="auto"/>
              </w:rPr>
            </w:pPr>
            <w:r>
              <w:rPr>
                <w:rFonts w:ascii="Arial" w:cs="Arial" w:eastAsia="Arial" w:hAnsi="Arial"/>
                <w:sz w:val="18"/>
                <w:szCs w:val="18"/>
                <w:color w:val="auto"/>
              </w:rPr>
              <w:t>Free:</w:t>
            </w: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0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660"/>
              <w:spacing w:after="0"/>
              <w:rPr>
                <w:sz w:val="20"/>
                <w:szCs w:val="20"/>
                <w:color w:val="auto"/>
              </w:rPr>
            </w:pPr>
            <w:r>
              <w:rPr>
                <w:rFonts w:ascii="Arial" w:cs="Arial" w:eastAsia="Arial" w:hAnsi="Arial"/>
                <w:sz w:val="18"/>
                <w:szCs w:val="18"/>
                <w:color w:val="auto"/>
              </w:rPr>
              <w:t>International Toll:</w:t>
            </w:r>
          </w:p>
        </w:tc>
        <w:tc>
          <w:tcPr>
            <w:tcW w:w="1720" w:type="dxa"/>
            <w:vAlign w:val="bottom"/>
          </w:tcPr>
          <w:p>
            <w:pPr>
              <w:ind w:left="460"/>
              <w:spacing w:after="0"/>
              <w:rPr>
                <w:sz w:val="20"/>
                <w:szCs w:val="20"/>
                <w:color w:val="auto"/>
              </w:rPr>
            </w:pPr>
            <w:r>
              <w:rPr>
                <w:rFonts w:ascii="Arial" w:cs="Arial" w:eastAsia="Arial" w:hAnsi="Arial"/>
                <w:sz w:val="18"/>
                <w:szCs w:val="18"/>
                <w:color w:val="auto"/>
                <w:w w:val="89"/>
              </w:rPr>
              <w:t>+1-201-689-8562</w:t>
            </w:r>
          </w:p>
        </w:tc>
        <w:tc>
          <w:tcPr>
            <w:tcW w:w="0" w:type="dxa"/>
            <w:vAlign w:val="bottom"/>
          </w:tcPr>
          <w:p>
            <w:pPr>
              <w:spacing w:after="0"/>
              <w:rPr>
                <w:sz w:val="1"/>
                <w:szCs w:val="1"/>
                <w:color w:val="auto"/>
              </w:rPr>
            </w:pPr>
          </w:p>
        </w:tc>
      </w:tr>
      <w:tr>
        <w:trPr>
          <w:trHeight w:val="230"/>
        </w:trPr>
        <w:tc>
          <w:tcPr>
            <w:tcW w:w="3000" w:type="dxa"/>
            <w:vAlign w:val="bottom"/>
          </w:tcPr>
          <w:p>
            <w:pPr>
              <w:ind w:left="660"/>
              <w:spacing w:after="0"/>
              <w:rPr>
                <w:sz w:val="20"/>
                <w:szCs w:val="20"/>
                <w:color w:val="auto"/>
              </w:rPr>
            </w:pPr>
            <w:r>
              <w:rPr>
                <w:rFonts w:ascii="Arial" w:cs="Arial" w:eastAsia="Arial" w:hAnsi="Arial"/>
                <w:sz w:val="18"/>
                <w:szCs w:val="18"/>
                <w:color w:val="auto"/>
              </w:rPr>
              <w:t>Conference ID:</w:t>
            </w:r>
          </w:p>
        </w:tc>
        <w:tc>
          <w:tcPr>
            <w:tcW w:w="1720" w:type="dxa"/>
            <w:vAlign w:val="bottom"/>
          </w:tcPr>
          <w:p>
            <w:pPr>
              <w:ind w:left="460"/>
              <w:spacing w:after="0"/>
              <w:rPr>
                <w:sz w:val="20"/>
                <w:szCs w:val="20"/>
                <w:color w:val="auto"/>
              </w:rPr>
            </w:pPr>
            <w:r>
              <w:rPr>
                <w:rFonts w:ascii="Arial" w:cs="Arial" w:eastAsia="Arial" w:hAnsi="Arial"/>
                <w:sz w:val="18"/>
                <w:szCs w:val="18"/>
                <w:color w:val="auto"/>
              </w:rPr>
              <w:t>13722263</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A live webcast will also be available in the Investor Relations section of Kaltura’s website at: </w:t>
      </w:r>
      <w:r>
        <w:rPr>
          <w:rFonts w:ascii="Arial" w:cs="Arial" w:eastAsia="Arial" w:hAnsi="Arial"/>
          <w:sz w:val="22"/>
          <w:szCs w:val="22"/>
          <w:u w:val="single" w:color="auto"/>
          <w:color w:val="auto"/>
        </w:rPr>
        <w:t>https://investors.kaltura.com/news-and-events/events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A replay of the webcast will be available in the Investor Relations section of the company’s web site approximately two hours after the conclusion of the call and remain available for approximately 30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Kaltura</w:t>
      </w:r>
    </w:p>
    <w:p>
      <w:pPr>
        <w:spacing w:after="0" w:line="293"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Kaltura’s mission is to power any video experience for any organization. Our Video Experience Cloud offers live, real-time, and on-demand video products for enterprises of all industries, as well as specialized industry solutions, currently for educational institutions and for media and telecom companies. Underlying our products and solutions is a broad set of Media Services that are also used by other cloud platforms and companies to power video experiences and workflows for their own products. Kaltura’s Video Experience Cloud is used by leading brands reaching millions of users, at home, at school and at work, for communication, collaboration, training, marketing, sales, customer care, teaching, learning, virtual events, and entertainment experiences.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Kaltura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Yaron Garmazi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IR@Kaltura.com</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Sapphire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Erica Mannion and Michael Funari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+1 617 542 6180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IR@Kaltura.com</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Kaltura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Lisa Bennett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pr.team@kaltura.com</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Headline Media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Raanan Loew</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raanan@headline.media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+1 347 897 9276</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our future financial and operating performance, including our GAAP and non-GAAP guidance; our business strategy, plans and objectives for future operations; capital expenditures; industry and market conditions and trends; and general business conditions, including as a result of the pandemic related to COVID-19 and its variants.</w:t>
      </w:r>
    </w:p>
    <w:p>
      <w:pPr>
        <w:spacing w:after="0" w:line="20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our ability to manage and sustain our rapid growth; our ability to achieve and maintain profitability; the ongoing pandemic related to COVID-19 and its variants; the evolution of the markets for our offerings; the quarterly fluctuation in our results of operations; our ability to retain our customers; our ability to keep pace with technological and competitive developments; our ability to maintain the interoperability of our offerings across devices, operating systems and third-party applications; our reliance on third parties; our ability to retain our key personnel; risks related to our international operations; sand the other under the caption “Risk Factors” in our prospectus dated July 22, 2021, filed with the Securities and Exchange Commission (“SEC”) pursuant to Rule 424(b), as such factors may be updated from time to time in our other filings with the SEC, which are accessible on the SEC’s website at www.sec.gov and the Investor Relations page of our website at investors.kaltura.com.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53"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Non-GAAP Financial Measures</w:t>
      </w:r>
    </w:p>
    <w:p>
      <w:pPr>
        <w:spacing w:after="0" w:line="29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In addition to our results determined in accordance with GAAP, we believe that Adjusted EBITDA is useful in evaluating the performance of our business. We define EBITDA as net profit (loss) before interest expense, net, provision for income taxes and depreciation and amortization expense. Adjusted EBITDA is defined as EBITDA (as defined above), adjusted for the impact of certain non-cash and other items that we believe are not indicative of our core operating performance, such as non-cash stock-based compensation expenses. Adjusted EBITDA is a supplemental measure of our performance, is not defined by or presented in accordance with GAAP, and should not be considered in isolation or as an alternative to net profit (loss) or any other performance measure prepared in accordance with GAAP. Adjusted EBITDA is presented because we believe that it provides useful supplemental information to investors and analysts regarding our operating performance and is frequently used by these parties in evaluating companies in our industry. By presenting Adjusted EBITDA, we provide a basis for comparison of our business operations between periods by excluding items that we do not believe are indicative of our core operating performance. We believe that investors’ understanding of our performance is enhanced by including this non-GAAP financial measure as a reasonable basis for comparing our ongoing results of operations. Additionally, our management uses Adjusted EBITDA as a supplemental measure of our performance because it assists us in comparing the operating performance of our business on a consistent basis between periods, as described above. Although we use EBITDA and Adjusted EBITDA as described above, EBITDA and Adjusted EBITDA have significant limitations as analytical tools. See the tables below regarding reconciliations of these non-GAAP financial measures to the most directly comparable GAAP measures.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color w:val="auto"/>
        </w:rPr>
        <w:t xml:space="preserve">Annualized Recurring Revenue. </w:t>
      </w:r>
      <w:r>
        <w:rPr>
          <w:rFonts w:ascii="Arial" w:cs="Arial" w:eastAsia="Arial" w:hAnsi="Arial"/>
          <w:sz w:val="19"/>
          <w:szCs w:val="19"/>
          <w:color w:val="auto"/>
        </w:rPr>
        <w:t>We use Annualized Recurring Revenue (“ARR”) as a measure of our revenue trend and an</w:t>
      </w:r>
      <w:r>
        <w:rPr>
          <w:rFonts w:ascii="Arial" w:cs="Arial" w:eastAsia="Arial" w:hAnsi="Arial"/>
          <w:sz w:val="19"/>
          <w:szCs w:val="19"/>
          <w:i w:val="1"/>
          <w:iCs w:val="1"/>
          <w:color w:val="auto"/>
        </w:rPr>
        <w:t xml:space="preserve"> </w:t>
      </w:r>
      <w:r>
        <w:rPr>
          <w:rFonts w:ascii="Arial" w:cs="Arial" w:eastAsia="Arial" w:hAnsi="Arial"/>
          <w:sz w:val="19"/>
          <w:szCs w:val="19"/>
          <w:color w:val="auto"/>
        </w:rPr>
        <w:t>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 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9"/>
          <w:szCs w:val="19"/>
          <w:i w:val="1"/>
          <w:iCs w:val="1"/>
          <w:color w:val="auto"/>
        </w:rPr>
        <w:t>Net Dollar Retention Rate</w:t>
      </w:r>
      <w:r>
        <w:rPr>
          <w:rFonts w:ascii="Arial" w:cs="Arial" w:eastAsia="Arial" w:hAnsi="Arial"/>
          <w:sz w:val="19"/>
          <w:szCs w:val="19"/>
          <w:color w:val="auto"/>
        </w:rPr>
        <w:t>. Our Net Dollar Retention Rate, which we use to measure our success in retaining and growing</w:t>
      </w:r>
      <w:r>
        <w:rPr>
          <w:rFonts w:ascii="Arial" w:cs="Arial" w:eastAsia="Arial" w:hAnsi="Arial"/>
          <w:sz w:val="19"/>
          <w:szCs w:val="19"/>
          <w:i w:val="1"/>
          <w:iCs w:val="1"/>
          <w:color w:val="auto"/>
        </w:rPr>
        <w:t xml:space="preserve"> </w:t>
      </w:r>
      <w:r>
        <w:rPr>
          <w:rFonts w:ascii="Arial" w:cs="Arial" w:eastAsia="Arial" w:hAnsi="Arial"/>
          <w:sz w:val="19"/>
          <w:szCs w:val="19"/>
          <w:color w:val="auto"/>
        </w:rPr>
        <w:t>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200" w:lineRule="exact"/>
        <w:rPr>
          <w:sz w:val="20"/>
          <w:szCs w:val="20"/>
          <w:color w:val="auto"/>
        </w:rPr>
      </w:pPr>
    </w:p>
    <w:p>
      <w:pPr>
        <w:spacing w:after="0" w:line="28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i w:val="1"/>
          <w:iCs w:val="1"/>
          <w:color w:val="auto"/>
        </w:rPr>
        <w:t xml:space="preserve">Remaining Performance Obligations. </w:t>
      </w:r>
      <w:r>
        <w:rPr>
          <w:rFonts w:ascii="Arial" w:cs="Arial" w:eastAsia="Arial" w:hAnsi="Arial"/>
          <w:sz w:val="19"/>
          <w:szCs w:val="19"/>
          <w:color w:val="auto"/>
        </w:rPr>
        <w:t>Remaining Performance Obligations represents the amount of contracted future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that has not yet been delivered, including both subscription and professional services revenues. Remaining Performance Obligations consists of both deferred revenue and contracted non-cancelable amounts that will be invoiced and recognized in future periods. We expect to recognize 65% of our Remaining Performance Obligations as revenue over the next 12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69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Condensed Consolidated Balance Sheet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(as restated)</w:t>
            </w:r>
          </w:p>
        </w:tc>
      </w:tr>
      <w:tr>
        <w:trPr>
          <w:trHeight w:val="223"/>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23,747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17,134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Deferred contract acquisition and fulfillment costs, current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65,782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53,462</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noncurrent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contract acquisition and fulfillment costs, noncurrent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112,136</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90,954</w:t>
            </w:r>
          </w:p>
        </w:tc>
      </w:tr>
      <w:tr>
        <w:trPr>
          <w:trHeight w:val="209"/>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CONVERTIBLE AND REDEEMABLE CONVERTIBLE PREFERRED STOCK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60"/>
              <w:spacing w:after="0"/>
              <w:rPr>
                <w:sz w:val="20"/>
                <w:szCs w:val="20"/>
                <w:color w:val="auto"/>
              </w:rPr>
            </w:pPr>
            <w:r>
              <w:rPr>
                <w:rFonts w:ascii="Arial" w:cs="Arial" w:eastAsia="Arial" w:hAnsi="Arial"/>
                <w:sz w:val="18"/>
                <w:szCs w:val="18"/>
                <w:color w:val="auto"/>
              </w:rPr>
              <w:t>Current portion of long-term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portion of long-term lease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Trade payables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r>
      <w:tr>
        <w:trPr>
          <w:trHeight w:val="216"/>
        </w:trPr>
        <w:tc>
          <w:tcPr>
            <w:tcW w:w="8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Employees and payroll accruals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w:t>
            </w:r>
          </w:p>
        </w:tc>
      </w:tr>
      <w:tr>
        <w:trPr>
          <w:trHeight w:val="216"/>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14,521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11,251</w:t>
            </w:r>
          </w:p>
        </w:tc>
      </w:tr>
      <w:tr>
        <w:trPr>
          <w:trHeight w:val="223"/>
        </w:trPr>
        <w:tc>
          <w:tcPr>
            <w:tcW w:w="8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82,994</w:t>
            </w: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60"/>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r>
      <w:tr>
        <w:trPr>
          <w:trHeight w:val="216"/>
        </w:trPr>
        <w:tc>
          <w:tcPr>
            <w:tcW w:w="8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Long-term loans, net of current portion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47,160</w:t>
            </w:r>
          </w:p>
        </w:tc>
      </w:tr>
      <w:tr>
        <w:trPr>
          <w:trHeight w:val="216"/>
        </w:trPr>
        <w:tc>
          <w:tcPr>
            <w:tcW w:w="8680" w:type="dxa"/>
            <w:vAlign w:val="bottom"/>
            <w:gridSpan w:val="2"/>
          </w:tcPr>
          <w:p>
            <w:pPr>
              <w:ind w:left="60"/>
              <w:spacing w:after="0"/>
              <w:rPr>
                <w:sz w:val="20"/>
                <w:szCs w:val="20"/>
                <w:color w:val="auto"/>
              </w:rPr>
            </w:pPr>
            <w:r>
              <w:rPr>
                <w:rFonts w:ascii="Arial" w:cs="Arial" w:eastAsia="Arial" w:hAnsi="Arial"/>
                <w:sz w:val="18"/>
                <w:szCs w:val="18"/>
                <w:color w:val="auto"/>
              </w:rPr>
              <w:t>Long-term lease liabilities, net of current portion</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8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 noncurrent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r>
      <w:tr>
        <w:trPr>
          <w:trHeight w:val="22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Warrants to purchase preferred and common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53,855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117,690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108,504</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219,474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191,498</w:t>
            </w: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3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Condensed Consolidated Balance Sheet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2020 (as</w:t>
            </w:r>
          </w:p>
        </w:tc>
      </w:t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restated)</w:t>
            </w:r>
          </w:p>
        </w:tc>
      </w:tr>
      <w:tr>
        <w:trPr>
          <w:trHeight w:val="223"/>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preferred stock, $ 0.0001 par value per share, 1,043,778 shares authorized, issued and outstanding as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June 30, 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December 31, 2020; aggregate liquidation preference of $ 1,921 as of June 30, 2021;</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3"/>
              </w:rPr>
              <w:t>Redeemable convertible preferred stock, $ 0.0001 par value per share, 15,968,831 shares authorized as of June 30,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2021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ind w:left="280"/>
              <w:spacing w:after="0"/>
              <w:rPr>
                <w:sz w:val="20"/>
                <w:szCs w:val="20"/>
                <w:color w:val="auto"/>
              </w:rPr>
            </w:pPr>
            <w:r>
              <w:rPr>
                <w:rFonts w:ascii="Arial" w:cs="Arial" w:eastAsia="Arial" w:hAnsi="Arial"/>
                <w:sz w:val="18"/>
                <w:szCs w:val="18"/>
                <w:color w:val="auto"/>
                <w:w w:val="93"/>
              </w:rPr>
              <w:t>December 31, 2020, 15,806,333 and 15,779,322 issued and outstanding as of June 30, 2021 and December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aggregate liquidation preference of $ 192,201 as of June 30, 2021;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159,340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158,191</w:t>
            </w:r>
          </w:p>
        </w:tc>
        <w:tc>
          <w:tcPr>
            <w:tcW w:w="100" w:type="dxa"/>
            <w:vAlign w:val="bottom"/>
          </w:tcPr>
          <w:p>
            <w:pPr>
              <w:spacing w:after="0"/>
              <w:rPr>
                <w:sz w:val="20"/>
                <w:szCs w:val="20"/>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color w:val="auto"/>
              </w:rPr>
              <w:t>Total mezzanine equity</w:t>
            </w:r>
          </w:p>
        </w:tc>
        <w:tc>
          <w:tcPr>
            <w:tcW w:w="120" w:type="dxa"/>
            <w:vAlign w:val="bottom"/>
          </w:tcPr>
          <w:p>
            <w:pPr>
              <w:spacing w:after="0"/>
              <w:rPr>
                <w:sz w:val="15"/>
                <w:szCs w:val="15"/>
                <w:color w:val="auto"/>
              </w:rPr>
            </w:pPr>
          </w:p>
        </w:tc>
        <w:tc>
          <w:tcPr>
            <w:tcW w:w="10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161,261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160,112</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of$ 0.0001 par value per stock 157,500,000 shares authorized as of June 30, 2021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2020; 33,479,452 and 33,153,112 shares issued as of June 30, 2021 and December 31, 2020 respectively.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25,794,262 and 25,467,922 shares outstanding as of June 30, 2021 and December 31, 2020, 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2"/>
              </w:rPr>
              <w:t>Treasury stock – 7,685,190 shares of common stock, $0.0001 par value per share, as of June 30,2021 and December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31, 2020;;</w:t>
            </w: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(4,881)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Receivables on account of stock</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(281,558)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(263,283)</w:t>
            </w: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(268,599)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(260,656)</w:t>
            </w: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CONVERTIBLE AND REDEEMABLE CONVERTIBLE PREFERRED STOCKS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STOCKHOLDERS'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112,136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90,954</w:t>
            </w:r>
          </w:p>
        </w:tc>
      </w:tr>
      <w:tr>
        <w:trPr>
          <w:trHeight w:val="419"/>
        </w:trPr>
        <w:tc>
          <w:tcPr>
            <w:tcW w:w="380" w:type="dxa"/>
            <w:vAlign w:val="bottom"/>
            <w:tcBorders>
              <w:top w:val="single" w:sz="8" w:color="CCEEFF"/>
              <w:bottom w:val="single" w:sz="8" w:color="auto"/>
            </w:tcBorders>
          </w:tcPr>
          <w:p>
            <w:pPr>
              <w:spacing w:after="0"/>
              <w:rPr>
                <w:sz w:val="24"/>
                <w:szCs w:val="24"/>
                <w:color w:val="auto"/>
              </w:rPr>
            </w:pPr>
          </w:p>
        </w:tc>
        <w:tc>
          <w:tcPr>
            <w:tcW w:w="8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Condensed Consolidated Statements of Operations (USD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36,467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3,780</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10,508</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6,482</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41,603</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28,749</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79,316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54,655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10,018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6,352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19,894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12,036</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4,436</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11,309</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9,168</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15,622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10,788</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31,203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21,204</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25,981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17,961</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33,451</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10,524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6,521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20,685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31,751</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16,838</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62,483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36,251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14,370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(4,497)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11,575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11,284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10,452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15,023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14,084</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15,990</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used in computing basic net 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25,768,411</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25,174,126</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25,538,010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24,575,196</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 average number of shares used in computing diluted net loss per share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32,836,110</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25,174,126</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25,538,010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24,575,196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 included in above line items: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791</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5,779</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Revenue by Segment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8"/>
                <w:szCs w:val="18"/>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6"/>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Enterprise, Education and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30,237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57,555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Media and Telecom</w:t>
            </w:r>
          </w:p>
        </w:tc>
        <w:tc>
          <w:tcPr>
            <w:tcW w:w="240" w:type="dxa"/>
            <w:vAlign w:val="bottom"/>
          </w:tcPr>
          <w:p>
            <w:pPr>
              <w:spacing w:after="0"/>
              <w:rPr>
                <w:sz w:val="19"/>
                <w:szCs w:val="19"/>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83"/>
              </w:rPr>
              <w:t>11,366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9,968</w:t>
            </w:r>
          </w:p>
        </w:tc>
        <w:tc>
          <w:tcPr>
            <w:tcW w:w="340" w:type="dxa"/>
            <w:vAlign w:val="bottom"/>
          </w:tcPr>
          <w:p>
            <w:pPr>
              <w:spacing w:after="0"/>
              <w:rPr>
                <w:sz w:val="19"/>
                <w:szCs w:val="19"/>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21,761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19,487</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41,603</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79,316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Condensed Consolidated Statements of Cash Flows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Six months ended</w:t>
            </w:r>
          </w:p>
        </w:tc>
      </w:tr>
      <w:tr>
        <w:trPr>
          <w:trHeight w:val="241"/>
        </w:trPr>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0"/>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(15,990)</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Adjustments required to reconcile net income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Stock-based compensation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contract acquisition and fulfillment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Change in valuation of warrants to purchase preferred and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(1,776)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10,034</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interest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Non-cash expenses with respect to stockholders’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Increase in trade receivables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(6,612)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prepaid expenses and other current assets and other assets,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Decrease in trade payables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(decrease)in other liabilities,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(5,695)</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(3,188)</w:t>
            </w: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Net cash acquired in business combination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Capitalized internal-use software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(1,255)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6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16"/>
        </w:trPr>
        <w:tc>
          <w:tcPr>
            <w:tcW w:w="16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6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long term loans, net of debt issuance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Repayment of long-term loans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(28,833)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finance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Proceeds from exercise of options by employees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24,061</w:t>
            </w:r>
          </w:p>
        </w:tc>
      </w:tr>
      <w:tr>
        <w:trPr>
          <w:trHeight w:val="20"/>
        </w:trPr>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3"/>
          </w:tcPr>
          <w:p>
            <w:pPr>
              <w:spacing w:after="0" w:line="176" w:lineRule="exact"/>
              <w:rPr>
                <w:sz w:val="20"/>
                <w:szCs w:val="20"/>
                <w:color w:val="auto"/>
              </w:rPr>
            </w:pPr>
            <w:r>
              <w:rPr>
                <w:rFonts w:ascii="Arial" w:cs="Arial" w:eastAsia="Arial" w:hAnsi="Arial"/>
                <w:sz w:val="18"/>
                <w:szCs w:val="18"/>
                <w:color w:val="auto"/>
              </w:rPr>
              <w:t>Non-cash transactions: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Purchase of property and equipment, internal-use software and intangible asset in credit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Issuance of ordinary shares and warrant with respect to business combination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3,799</w:t>
            </w:r>
          </w:p>
        </w:tc>
      </w:tr>
      <w:tr>
        <w:trPr>
          <w:trHeight w:val="453"/>
        </w:trPr>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Adjusted EBITDA (USD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(15,990)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(4,497)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11,575</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(5,167)</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2,214</w:t>
            </w: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(13,170)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9,173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446"/>
        </w:trPr>
        <w:tc>
          <w:tcPr>
            <w:tcW w:w="59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Reported KPIs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8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23"/>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(dollar amounts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Annualized Recurring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145,431</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99,642</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Net Dollar Retention Rate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Remaining Performance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156,323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116,513</w:t>
            </w:r>
          </w:p>
        </w:tc>
      </w:tr>
      <w:tr>
        <w:trPr>
          <w:trHeight w:val="378"/>
        </w:trPr>
        <w:tc>
          <w:tcPr>
            <w:tcW w:w="8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63"/>
        </w:trPr>
        <w:tc>
          <w:tcPr>
            <w:tcW w:w="8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2021-08-18T05:46:37Z</dcterms:created>
  <dcterms:modified xsi:type="dcterms:W3CDTF">2021-08-18T05:46:37Z</dcterms:modified>
</cp:coreProperties>
</file>