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July 23, 2021</w:t>
      </w:r>
    </w:p>
    <w:p>
      <w:pPr>
        <w:spacing w:after="0" w:line="13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Kaltura,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259" w:right="339" w:bottom="1440" w:gutter="0" w:footer="0" w:header="0"/>
        </w:sectPr>
      </w:pPr>
    </w:p>
    <w:p>
      <w:pPr>
        <w:spacing w:after="0" w:line="43" w:lineRule="exact"/>
        <w:rPr>
          <w:sz w:val="24"/>
          <w:szCs w:val="24"/>
          <w:color w:val="auto"/>
        </w:rPr>
      </w:pPr>
    </w:p>
    <w:p>
      <w:pPr>
        <w:ind w:left="15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jc w:val="center"/>
        <w:ind w:right="2180"/>
        <w:spacing w:after="0"/>
        <w:rPr>
          <w:sz w:val="20"/>
          <w:szCs w:val="20"/>
          <w:color w:val="auto"/>
        </w:rPr>
      </w:pPr>
      <w:r>
        <w:rPr>
          <w:rFonts w:ascii="Arial" w:cs="Arial" w:eastAsia="Arial" w:hAnsi="Arial"/>
          <w:sz w:val="16"/>
          <w:szCs w:val="16"/>
          <w:b w:val="1"/>
          <w:bCs w:val="1"/>
          <w:color w:val="auto"/>
        </w:rPr>
        <w:t>001-40644</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20-8128326</w:t>
      </w:r>
    </w:p>
    <w:p>
      <w:pPr>
        <w:spacing w:after="0" w:line="82" w:lineRule="exact"/>
        <w:rPr>
          <w:sz w:val="24"/>
          <w:szCs w:val="24"/>
          <w:color w:val="auto"/>
        </w:rPr>
      </w:pPr>
    </w:p>
    <w:p>
      <w:pPr>
        <w:sectPr>
          <w:pgSz w:w="11900" w:h="16838" w:orient="portrait"/>
          <w:cols w:equalWidth="0" w:num="3">
            <w:col w:w="4620" w:space="720"/>
            <w:col w:w="2960" w:space="720"/>
            <w:col w:w="2220"/>
          </w:cols>
          <w:pgMar w:left="320" w:top="1259" w:right="339" w:bottom="1440" w:gutter="0" w:footer="0" w:header="0"/>
          <w:type w:val="continuous"/>
        </w:sect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spacing w:after="0" w:line="29" w:lineRule="exact"/>
        <w:rPr>
          <w:sz w:val="24"/>
          <w:szCs w:val="24"/>
          <w:color w:val="auto"/>
        </w:rPr>
      </w:pP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Arial" w:cs="Arial" w:eastAsia="Arial" w:hAnsi="Arial"/>
          <w:sz w:val="14"/>
          <w:szCs w:val="14"/>
          <w:b w:val="1"/>
          <w:bCs w:val="1"/>
          <w:color w:val="auto"/>
        </w:rPr>
        <w:t>(IRS Employer</w:t>
      </w:r>
    </w:p>
    <w:p>
      <w:pPr>
        <w:spacing w:after="0" w:line="17" w:lineRule="exact"/>
        <w:rPr>
          <w:sz w:val="24"/>
          <w:szCs w:val="24"/>
          <w:color w:val="auto"/>
        </w:rPr>
      </w:pPr>
    </w:p>
    <w:p>
      <w:pPr>
        <w:jc w:val="center"/>
        <w:ind w:right="122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600" w:space="720"/>
            <w:col w:w="2840" w:space="720"/>
            <w:col w:w="2360"/>
          </w:cols>
          <w:pgMar w:left="320" w:top="1259" w:right="339" w:bottom="1440" w:gutter="0" w:footer="0" w:header="0"/>
          <w:type w:val="continuous"/>
        </w:sectPr>
      </w:pP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250 Park Avenue South</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Floor</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10003</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(646) 290-5445</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ectPr>
          <w:pgSz w:w="11900" w:h="16838" w:orient="portrait"/>
          <w:cols w:equalWidth="0" w:num="1">
            <w:col w:w="11240"/>
          </w:cols>
          <w:pgMar w:left="320" w:top="1259" w:right="339" w:bottom="1440" w:gutter="0" w:footer="0" w:header="0"/>
          <w:type w:val="continuous"/>
        </w:sectPr>
      </w:pPr>
    </w:p>
    <w:p>
      <w:pPr>
        <w:spacing w:after="0" w:line="113" w:lineRule="exact"/>
        <w:rPr>
          <w:sz w:val="24"/>
          <w:szCs w:val="24"/>
          <w:color w:val="auto"/>
        </w:rPr>
      </w:pPr>
    </w:p>
    <w:p>
      <w:pPr>
        <w:ind w:right="680"/>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4" w:lineRule="exact"/>
        <w:rPr>
          <w:sz w:val="24"/>
          <w:szCs w:val="24"/>
          <w:color w:val="auto"/>
        </w:rPr>
      </w:pPr>
    </w:p>
    <w:p>
      <w:pPr>
        <w:ind w:left="480" w:hanging="450"/>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80" w:hanging="450"/>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80" w:hanging="450"/>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80" w:hanging="450"/>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720" w:type="dxa"/>
            <w:vAlign w:val="bottom"/>
            <w:gridSpan w:val="2"/>
          </w:tcPr>
          <w:p>
            <w:pPr>
              <w:ind w:left="1540"/>
              <w:spacing w:after="0"/>
              <w:rPr>
                <w:sz w:val="20"/>
                <w:szCs w:val="20"/>
                <w:color w:val="auto"/>
              </w:rPr>
            </w:pPr>
            <w:r>
              <w:rPr>
                <w:rFonts w:ascii="Arial" w:cs="Arial" w:eastAsia="Arial" w:hAnsi="Arial"/>
                <w:sz w:val="14"/>
                <w:szCs w:val="14"/>
                <w:b w:val="1"/>
                <w:bCs w:val="1"/>
                <w:color w:val="auto"/>
              </w:rPr>
              <w:t>Trading</w:t>
            </w:r>
          </w:p>
        </w:tc>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r>
      <w:tr>
        <w:trPr>
          <w:trHeight w:val="200"/>
        </w:trPr>
        <w:tc>
          <w:tcPr>
            <w:tcW w:w="3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720" w:type="dxa"/>
            <w:vAlign w:val="bottom"/>
            <w:gridSpan w:val="2"/>
          </w:tcPr>
          <w:p>
            <w:pPr>
              <w:ind w:left="1520"/>
              <w:spacing w:after="0"/>
              <w:rPr>
                <w:sz w:val="20"/>
                <w:szCs w:val="20"/>
                <w:color w:val="auto"/>
              </w:rPr>
            </w:pPr>
            <w:r>
              <w:rPr>
                <w:rFonts w:ascii="Arial" w:cs="Arial" w:eastAsia="Arial" w:hAnsi="Arial"/>
                <w:sz w:val="14"/>
                <w:szCs w:val="14"/>
                <w:b w:val="1"/>
                <w:bCs w:val="1"/>
                <w:color w:val="auto"/>
              </w:rPr>
              <w:t>Symbols</w:t>
            </w:r>
          </w:p>
        </w:tc>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25"/>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237"/>
        </w:trPr>
        <w:tc>
          <w:tcPr>
            <w:tcW w:w="3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3720" w:type="dxa"/>
            <w:vAlign w:val="bottom"/>
            <w:gridSpan w:val="2"/>
          </w:tcPr>
          <w:p>
            <w:pPr>
              <w:ind w:left="1540"/>
              <w:spacing w:after="0"/>
              <w:rPr>
                <w:sz w:val="20"/>
                <w:szCs w:val="20"/>
                <w:color w:val="auto"/>
              </w:rPr>
            </w:pPr>
            <w:r>
              <w:rPr>
                <w:rFonts w:ascii="Arial" w:cs="Arial" w:eastAsia="Arial" w:hAnsi="Arial"/>
                <w:sz w:val="18"/>
                <w:szCs w:val="18"/>
                <w:b w:val="1"/>
                <w:bCs w:val="1"/>
                <w:color w:val="auto"/>
              </w:rPr>
              <w:t>KLTR</w:t>
            </w: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125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12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On July 23, 2021, Kaltura, Inc. (the “Company”) filed an Amended and Restated Certificate of Incorporation (the “Certificate of Incorporation”) and the Company’s Amended and Restated Bylaws (the “Bylaws”) became effective on such date. The Certificate of Incorporation and the Bylaws are filed herewith as Exhibits 3.1 and 3.2, respectively, and are incorporated herein by reference. The terms of the Certificate of Incorporation and Bylaws are substantially the same as the terms set forth in the forms previously filed as Exhibits 3.3 and 3.4, respectively, to the Company’s registration statement on Form S-1 (File No. 333-253699), as amended (the “Registration Statement”).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On July 23, 2021, the Company completed its initial public offering of the Company’s common stock, $0.0001 par value per share (the “Common Stock”), at a public offering price of $10.00 per share, pursuant to the Registration Statement. The Company sold 15,000,000 shares of Common Stock. The gross proceeds to the Company from the initial public offering were $150.0 million, before deducting underwriting discounts and commissions and estimated offering expenses payable by the Company. The Company has granted the underwriters an option for a period of 30 days to purchase up to an additional 2,250,000 shares of Common Stock from the Company at the initial public offering price, less underwriting discounts and commissions.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120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48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200" w:type="dxa"/>
            <w:vAlign w:val="bottom"/>
          </w:tcPr>
          <w:p>
            <w:pPr>
              <w:spacing w:after="0"/>
              <w:rPr>
                <w:sz w:val="20"/>
                <w:szCs w:val="20"/>
                <w:color w:val="auto"/>
              </w:rPr>
            </w:pPr>
            <w:r>
              <w:rPr>
                <w:rFonts w:ascii="Arial" w:cs="Arial" w:eastAsia="Arial" w:hAnsi="Arial"/>
                <w:sz w:val="18"/>
                <w:szCs w:val="18"/>
                <w:color w:val="auto"/>
              </w:rPr>
              <w:t>3.1</w:t>
            </w:r>
          </w:p>
        </w:tc>
        <w:tc>
          <w:tcPr>
            <w:tcW w:w="484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4">
              <w:r>
                <w:rPr>
                  <w:rFonts w:ascii="Arial" w:cs="Arial" w:eastAsia="Arial" w:hAnsi="Arial"/>
                  <w:sz w:val="18"/>
                  <w:szCs w:val="18"/>
                  <w:color w:val="0000FF"/>
                  <w:w w:val="91"/>
                </w:rPr>
                <w:t>Amended and Restated Certificate of Incorporation of Kaltura, Inc.</w:t>
              </w:r>
            </w:hyperlink>
          </w:p>
        </w:tc>
      </w:tr>
      <w:tr>
        <w:trPr>
          <w:trHeight w:val="358"/>
        </w:trPr>
        <w:tc>
          <w:tcPr>
            <w:tcW w:w="1200" w:type="dxa"/>
            <w:vAlign w:val="bottom"/>
          </w:tcPr>
          <w:p>
            <w:pPr>
              <w:spacing w:after="0"/>
              <w:rPr>
                <w:sz w:val="20"/>
                <w:szCs w:val="20"/>
                <w:color w:val="auto"/>
              </w:rPr>
            </w:pPr>
            <w:r>
              <w:rPr>
                <w:rFonts w:ascii="Arial" w:cs="Arial" w:eastAsia="Arial" w:hAnsi="Arial"/>
                <w:sz w:val="18"/>
                <w:szCs w:val="18"/>
                <w:color w:val="auto"/>
              </w:rPr>
              <w:t>3.2</w:t>
            </w:r>
          </w:p>
        </w:tc>
        <w:tc>
          <w:tcPr>
            <w:tcW w:w="4840" w:type="dxa"/>
            <w:vAlign w:val="bottom"/>
            <w:gridSpan w:val="2"/>
          </w:tcPr>
          <w:p>
            <w:pPr>
              <w:spacing w:after="0"/>
              <w:rPr>
                <w:rFonts w:ascii="Arial" w:cs="Arial" w:eastAsia="Arial" w:hAnsi="Arial"/>
                <w:sz w:val="18"/>
                <w:szCs w:val="18"/>
                <w:color w:val="0000FF"/>
              </w:rPr>
            </w:pPr>
            <w:hyperlink w:anchor="page13">
              <w:r>
                <w:rPr>
                  <w:rFonts w:ascii="Arial" w:cs="Arial" w:eastAsia="Arial" w:hAnsi="Arial"/>
                  <w:sz w:val="18"/>
                  <w:szCs w:val="18"/>
                  <w:color w:val="0000FF"/>
                </w:rPr>
                <w:t>Amended and Restated Bylaws of Kaltura, Inc.</w:t>
              </w:r>
            </w:hyperlink>
          </w:p>
        </w:tc>
      </w:tr>
      <w:tr>
        <w:trPr>
          <w:trHeight w:val="20"/>
        </w:trPr>
        <w:tc>
          <w:tcPr>
            <w:tcW w:w="1200" w:type="dxa"/>
            <w:vAlign w:val="bottom"/>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ectPr>
          <w:pgSz w:w="11900" w:h="16838" w:orient="portrait"/>
          <w:cols w:equalWidth="0" w:num="1">
            <w:col w:w="11160"/>
          </w:cols>
          <w:pgMar w:left="320" w:top="1093" w:right="419" w:bottom="1440" w:gutter="0" w:footer="0" w:header="0"/>
        </w:sectPr>
      </w:pPr>
    </w:p>
    <w:bookmarkStart w:id="2" w:name="page3"/>
    <w:bookmarkEnd w:id="2"/>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8"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KALTURA, INC.</w:t>
      </w:r>
    </w:p>
    <w:p>
      <w:pPr>
        <w:spacing w:after="0" w:line="279" w:lineRule="exact"/>
        <w:rPr>
          <w:sz w:val="20"/>
          <w:szCs w:val="20"/>
          <w:color w:val="auto"/>
        </w:rPr>
      </w:pPr>
    </w:p>
    <w:tbl>
      <w:tblPr>
        <w:tblLayout w:type="fixed"/>
        <w:tblInd w:w="666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Pr>
          <w:p>
            <w:pPr>
              <w:ind w:left="20"/>
              <w:spacing w:after="0"/>
              <w:rPr>
                <w:sz w:val="20"/>
                <w:szCs w:val="20"/>
                <w:color w:val="auto"/>
              </w:rPr>
            </w:pPr>
            <w:r>
              <w:rPr>
                <w:rFonts w:ascii="Arial" w:cs="Arial" w:eastAsia="Arial" w:hAnsi="Arial"/>
                <w:sz w:val="18"/>
                <w:szCs w:val="18"/>
                <w:color w:val="auto"/>
              </w:rPr>
              <w:t>/s/ Yaron Garmazi</w:t>
            </w:r>
          </w:p>
        </w:tc>
        <w:tc>
          <w:tcPr>
            <w:tcW w:w="0" w:type="dxa"/>
            <w:vAlign w:val="bottom"/>
          </w:tcPr>
          <w:p>
            <w:pPr>
              <w:spacing w:after="0"/>
              <w:rPr>
                <w:sz w:val="1"/>
                <w:szCs w:val="1"/>
                <w:color w:val="auto"/>
              </w:rPr>
            </w:pPr>
          </w:p>
        </w:tc>
      </w:tr>
      <w:tr>
        <w:trPr>
          <w:trHeight w:val="27"/>
        </w:trPr>
        <w:tc>
          <w:tcPr>
            <w:tcW w:w="7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Yaron Garmazi</w:t>
            </w:r>
          </w:p>
        </w:tc>
        <w:tc>
          <w:tcPr>
            <w:tcW w:w="0" w:type="dxa"/>
            <w:vAlign w:val="bottom"/>
          </w:tcPr>
          <w:p>
            <w:pPr>
              <w:spacing w:after="0"/>
              <w:rPr>
                <w:sz w:val="1"/>
                <w:szCs w:val="1"/>
                <w:color w:val="auto"/>
              </w:rPr>
            </w:pP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Date: July 23, 2021</w:t>
      </w:r>
    </w:p>
    <w:p>
      <w:pPr>
        <w:sectPr>
          <w:pgSz w:w="11900" w:h="16976" w:orient="portrait"/>
          <w:cols w:equalWidth="0" w:num="1">
            <w:col w:w="11240"/>
          </w:cols>
          <w:pgMar w:left="320" w:top="1093"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0400"/>
        <w:spacing w:after="0"/>
        <w:rPr>
          <w:sz w:val="20"/>
          <w:szCs w:val="20"/>
          <w:color w:val="auto"/>
        </w:rPr>
      </w:pPr>
      <w:r>
        <w:rPr>
          <w:rFonts w:ascii="Arial" w:cs="Arial" w:eastAsia="Arial" w:hAnsi="Arial"/>
          <w:sz w:val="16"/>
          <w:szCs w:val="16"/>
          <w:b w:val="1"/>
          <w:bCs w:val="1"/>
          <w:color w:val="auto"/>
        </w:rPr>
        <w:t>Exhibit 3 1</w:t>
      </w:r>
    </w:p>
    <w:p>
      <w:pPr>
        <w:sectPr>
          <w:pgSz w:w="11900" w:h="16976" w:orient="portrait"/>
          <w:cols w:equalWidth="0" w:num="1">
            <w:col w:w="11240"/>
          </w:cols>
          <w:pgMar w:left="320" w:top="1093" w:right="339" w:bottom="0" w:gutter="0" w:footer="0" w:header="0"/>
          <w:type w:val="continuous"/>
        </w:sectPr>
      </w:pPr>
    </w:p>
    <w:bookmarkStart w:id="3" w:name="page4"/>
    <w:bookmarkEnd w:id="3"/>
    <w:p>
      <w:pPr>
        <w:jc w:val="center"/>
        <w:ind w:right="100"/>
        <w:spacing w:after="0"/>
        <w:rPr>
          <w:sz w:val="20"/>
          <w:szCs w:val="20"/>
          <w:color w:val="auto"/>
        </w:rPr>
      </w:pPr>
      <w:r>
        <w:rPr>
          <w:rFonts w:ascii="Arial" w:cs="Arial" w:eastAsia="Arial" w:hAnsi="Arial"/>
          <w:sz w:val="22"/>
          <w:szCs w:val="22"/>
          <w:b w:val="1"/>
          <w:bCs w:val="1"/>
          <w:color w:val="231F20"/>
        </w:rPr>
        <w:t>AMENDED AND RESTATED CERTIFICATE OF INCORPORATION</w:t>
      </w:r>
    </w:p>
    <w:p>
      <w:pPr>
        <w:spacing w:after="0" w:line="220"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231F20"/>
        </w:rPr>
        <w:t>OF</w:t>
      </w:r>
    </w:p>
    <w:p>
      <w:pPr>
        <w:spacing w:after="0" w:line="220"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231F20"/>
        </w:rPr>
        <w:t>KALTURA, INC.</w:t>
      </w:r>
    </w:p>
    <w:p>
      <w:pPr>
        <w:spacing w:after="0" w:line="226" w:lineRule="exact"/>
        <w:rPr>
          <w:sz w:val="20"/>
          <w:szCs w:val="20"/>
          <w:color w:val="auto"/>
        </w:rPr>
      </w:pPr>
    </w:p>
    <w:p>
      <w:pPr>
        <w:jc w:val="both"/>
        <w:ind w:right="180" w:firstLine="648"/>
        <w:spacing w:after="0" w:line="290" w:lineRule="auto"/>
        <w:rPr>
          <w:sz w:val="20"/>
          <w:szCs w:val="20"/>
          <w:color w:val="auto"/>
        </w:rPr>
      </w:pPr>
      <w:r>
        <w:rPr>
          <w:rFonts w:ascii="Arial" w:cs="Arial" w:eastAsia="Arial" w:hAnsi="Arial"/>
          <w:sz w:val="19"/>
          <w:szCs w:val="19"/>
          <w:color w:val="231F20"/>
        </w:rPr>
        <w:t>The name of the corporation is Kaltura, Inc. (the “</w:t>
      </w:r>
      <w:r>
        <w:rPr>
          <w:rFonts w:ascii="Arial" w:cs="Arial" w:eastAsia="Arial" w:hAnsi="Arial"/>
          <w:sz w:val="19"/>
          <w:szCs w:val="19"/>
          <w:u w:val="single" w:color="auto"/>
          <w:color w:val="231F20"/>
        </w:rPr>
        <w:t>Corporation</w:t>
      </w:r>
      <w:r>
        <w:rPr>
          <w:rFonts w:ascii="Arial" w:cs="Arial" w:eastAsia="Arial" w:hAnsi="Arial"/>
          <w:sz w:val="19"/>
          <w:szCs w:val="19"/>
          <w:color w:val="231F20"/>
        </w:rPr>
        <w:t>”). The Corporation was originally incorporated by the filing of its original Certificate of Incorporation with the Secretary of State of the State of Delaware on October 31, 2006. This Amended and Restated Certificate of Incorporation of the Corporation (the “</w:t>
      </w:r>
      <w:r>
        <w:rPr>
          <w:rFonts w:ascii="Arial" w:cs="Arial" w:eastAsia="Arial" w:hAnsi="Arial"/>
          <w:sz w:val="19"/>
          <w:szCs w:val="19"/>
          <w:u w:val="single" w:color="auto"/>
          <w:color w:val="231F20"/>
        </w:rPr>
        <w:t>Certificate of Incorporation</w:t>
      </w:r>
      <w:r>
        <w:rPr>
          <w:rFonts w:ascii="Arial" w:cs="Arial" w:eastAsia="Arial" w:hAnsi="Arial"/>
          <w:sz w:val="19"/>
          <w:szCs w:val="19"/>
          <w:color w:val="231F20"/>
        </w:rPr>
        <w:t>”), which restates and integrates and also further amends the provisions of the Corporation’s Eighth Amended and Restated Certificate of Incorporation, as amended, was duly adopted in accordance with the provisions of Sections 242 and 245 of the General Corporation Law of the State of Delaware (the “</w:t>
      </w:r>
      <w:r>
        <w:rPr>
          <w:rFonts w:ascii="Arial" w:cs="Arial" w:eastAsia="Arial" w:hAnsi="Arial"/>
          <w:sz w:val="19"/>
          <w:szCs w:val="19"/>
          <w:u w:val="single" w:color="auto"/>
          <w:color w:val="231F20"/>
        </w:rPr>
        <w:t>DGCL</w:t>
      </w:r>
      <w:r>
        <w:rPr>
          <w:rFonts w:ascii="Arial" w:cs="Arial" w:eastAsia="Arial" w:hAnsi="Arial"/>
          <w:sz w:val="19"/>
          <w:szCs w:val="19"/>
          <w:color w:val="231F20"/>
        </w:rPr>
        <w:t>”) and by the written consent of its stockholders in accordance with Section 228 of the DGCL. The Eighth Amended and Restated Certificate of Incorporation of the Corporation, as amended, is hereby amended, integrated and restated to read in its entirety as follows:</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22"/>
          <w:szCs w:val="22"/>
          <w:color w:val="231F20"/>
        </w:rPr>
        <w:t>FIRST: The name of the Corporation is Kaltura, Inc.</w:t>
      </w:r>
    </w:p>
    <w:p>
      <w:pPr>
        <w:spacing w:after="0" w:line="220" w:lineRule="exact"/>
        <w:rPr>
          <w:sz w:val="20"/>
          <w:szCs w:val="20"/>
          <w:color w:val="auto"/>
        </w:rPr>
      </w:pPr>
    </w:p>
    <w:p>
      <w:pPr>
        <w:jc w:val="both"/>
        <w:ind w:right="180" w:firstLine="648"/>
        <w:spacing w:after="0" w:line="253" w:lineRule="auto"/>
        <w:rPr>
          <w:sz w:val="20"/>
          <w:szCs w:val="20"/>
          <w:color w:val="auto"/>
        </w:rPr>
      </w:pPr>
      <w:r>
        <w:rPr>
          <w:rFonts w:ascii="Arial" w:cs="Arial" w:eastAsia="Arial" w:hAnsi="Arial"/>
          <w:sz w:val="22"/>
          <w:szCs w:val="22"/>
          <w:color w:val="231F20"/>
        </w:rPr>
        <w:t>SECOND: The address of the Corporation’s registered office in the State of Delaware is 1313 N. Market Street, Suite 5100, in the City of Wilmington, County of New Castle, Delaware 19801. The name of its registered agent at that address is PHS Corporate Services, Inc.</w:t>
      </w:r>
    </w:p>
    <w:p>
      <w:pPr>
        <w:spacing w:after="0" w:line="185"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22"/>
          <w:szCs w:val="22"/>
          <w:color w:val="231F20"/>
        </w:rPr>
        <w:t>THIRD: The nature of the business or purposes to be conducted or promoted by the Corporation is to engage in any lawful act or activity for which corporations may be organized under the DGCL.</w:t>
      </w:r>
    </w:p>
    <w:p>
      <w:pPr>
        <w:spacing w:after="0" w:line="175"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9"/>
          <w:szCs w:val="19"/>
          <w:color w:val="231F20"/>
        </w:rPr>
        <w:t>FOURTH: The total number of shares of all classes of stock which the Corporation shall have authority to issue is 1,020,000,000 shares, consisting of (a) 1,000,000,000 shares of Common Stock, $0.0001 par value per share (“</w:t>
      </w:r>
      <w:r>
        <w:rPr>
          <w:rFonts w:ascii="Arial" w:cs="Arial" w:eastAsia="Arial" w:hAnsi="Arial"/>
          <w:sz w:val="19"/>
          <w:szCs w:val="19"/>
          <w:u w:val="single" w:color="auto"/>
          <w:color w:val="231F20"/>
        </w:rPr>
        <w:t>Common</w:t>
      </w:r>
      <w:r>
        <w:rPr>
          <w:rFonts w:ascii="Arial" w:cs="Arial" w:eastAsia="Arial" w:hAnsi="Arial"/>
          <w:sz w:val="19"/>
          <w:szCs w:val="19"/>
          <w:color w:val="231F20"/>
        </w:rPr>
        <w:t xml:space="preserve"> </w:t>
      </w:r>
      <w:r>
        <w:rPr>
          <w:rFonts w:ascii="Arial" w:cs="Arial" w:eastAsia="Arial" w:hAnsi="Arial"/>
          <w:sz w:val="19"/>
          <w:szCs w:val="19"/>
          <w:u w:val="single" w:color="auto"/>
          <w:color w:val="231F20"/>
        </w:rPr>
        <w:t>Stock</w:t>
      </w:r>
      <w:r>
        <w:rPr>
          <w:rFonts w:ascii="Arial" w:cs="Arial" w:eastAsia="Arial" w:hAnsi="Arial"/>
          <w:sz w:val="19"/>
          <w:szCs w:val="19"/>
          <w:color w:val="231F20"/>
        </w:rPr>
        <w:t>”), and (b) 20,000,000 shares of Preferred Stock, $0.0001 par value per share (“</w:t>
      </w:r>
      <w:r>
        <w:rPr>
          <w:rFonts w:ascii="Arial" w:cs="Arial" w:eastAsia="Arial" w:hAnsi="Arial"/>
          <w:sz w:val="19"/>
          <w:szCs w:val="19"/>
          <w:u w:val="single" w:color="auto"/>
          <w:color w:val="231F20"/>
        </w:rPr>
        <w:t>Preferred Stock</w:t>
      </w:r>
      <w:r>
        <w:rPr>
          <w:rFonts w:ascii="Arial" w:cs="Arial" w:eastAsia="Arial" w:hAnsi="Arial"/>
          <w:sz w:val="19"/>
          <w:szCs w:val="19"/>
          <w:color w:val="231F20"/>
        </w:rPr>
        <w:t>”).</w:t>
      </w:r>
    </w:p>
    <w:p>
      <w:pPr>
        <w:spacing w:after="0" w:line="133"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22"/>
          <w:szCs w:val="22"/>
          <w:color w:val="231F20"/>
        </w:rPr>
        <w:t>The following is a statement of the designations and the powers, preferences and rights, and the qualifications, limitations or restrictions thereof in respect of each class of capital stock of the Corporation.</w:t>
      </w:r>
    </w:p>
    <w:p>
      <w:pPr>
        <w:spacing w:after="0" w:line="175" w:lineRule="exact"/>
        <w:rPr>
          <w:sz w:val="20"/>
          <w:szCs w:val="20"/>
          <w:color w:val="auto"/>
        </w:rPr>
      </w:pPr>
    </w:p>
    <w:p>
      <w:pPr>
        <w:ind w:left="1060" w:hanging="417"/>
        <w:spacing w:after="0"/>
        <w:tabs>
          <w:tab w:leader="none" w:pos="1060" w:val="left"/>
        </w:tabs>
        <w:numPr>
          <w:ilvl w:val="0"/>
          <w:numId w:val="3"/>
        </w:numPr>
        <w:rPr>
          <w:rFonts w:ascii="Arial" w:cs="Arial" w:eastAsia="Arial" w:hAnsi="Arial"/>
          <w:sz w:val="22"/>
          <w:szCs w:val="22"/>
          <w:color w:val="231F20"/>
        </w:rPr>
      </w:pPr>
      <w:r>
        <w:rPr>
          <w:rFonts w:ascii="Arial" w:cs="Arial" w:eastAsia="Arial" w:hAnsi="Arial"/>
          <w:sz w:val="22"/>
          <w:szCs w:val="22"/>
          <w:u w:val="single" w:color="auto"/>
          <w:color w:val="231F20"/>
        </w:rPr>
        <w:t>COMMON STOCK</w:t>
      </w:r>
      <w:r>
        <w:rPr>
          <w:rFonts w:ascii="Arial" w:cs="Arial" w:eastAsia="Arial" w:hAnsi="Arial"/>
          <w:sz w:val="22"/>
          <w:szCs w:val="22"/>
          <w:color w:val="231F20"/>
        </w:rPr>
        <w:t>.</w:t>
      </w:r>
    </w:p>
    <w:p>
      <w:pPr>
        <w:spacing w:after="0" w:line="220" w:lineRule="exact"/>
        <w:rPr>
          <w:sz w:val="20"/>
          <w:szCs w:val="20"/>
          <w:color w:val="auto"/>
        </w:rPr>
      </w:pPr>
    </w:p>
    <w:p>
      <w:pPr>
        <w:jc w:val="both"/>
        <w:ind w:firstLine="644"/>
        <w:spacing w:after="0" w:line="253" w:lineRule="auto"/>
        <w:tabs>
          <w:tab w:leader="none" w:pos="1026" w:val="left"/>
        </w:tabs>
        <w:numPr>
          <w:ilvl w:val="0"/>
          <w:numId w:val="4"/>
        </w:numPr>
        <w:rPr>
          <w:rFonts w:ascii="Arial" w:cs="Arial" w:eastAsia="Arial" w:hAnsi="Arial"/>
          <w:sz w:val="22"/>
          <w:szCs w:val="22"/>
          <w:color w:val="231F20"/>
        </w:rPr>
      </w:pPr>
      <w:r>
        <w:rPr>
          <w:rFonts w:ascii="Arial" w:cs="Arial" w:eastAsia="Arial" w:hAnsi="Arial"/>
          <w:sz w:val="22"/>
          <w:szCs w:val="22"/>
          <w:u w:val="single" w:color="auto"/>
          <w:color w:val="231F20"/>
        </w:rPr>
        <w:t>General</w:t>
      </w:r>
      <w:r>
        <w:rPr>
          <w:rFonts w:ascii="Arial" w:cs="Arial" w:eastAsia="Arial" w:hAnsi="Arial"/>
          <w:sz w:val="22"/>
          <w:szCs w:val="22"/>
          <w:color w:val="231F20"/>
        </w:rPr>
        <w:t>. The voting, dividend and liquidation rights of the holders of the Common Stock are subject to and qualified by the rights of the holders of the Preferred Stock of any series as may be designated by the Board of Directors of the Corporation (the “</w:t>
      </w:r>
      <w:r>
        <w:rPr>
          <w:rFonts w:ascii="Arial" w:cs="Arial" w:eastAsia="Arial" w:hAnsi="Arial"/>
          <w:sz w:val="22"/>
          <w:szCs w:val="22"/>
          <w:u w:val="single" w:color="auto"/>
          <w:color w:val="231F20"/>
        </w:rPr>
        <w:t>Board of Directors</w:t>
      </w:r>
      <w:r>
        <w:rPr>
          <w:rFonts w:ascii="Arial" w:cs="Arial" w:eastAsia="Arial" w:hAnsi="Arial"/>
          <w:sz w:val="22"/>
          <w:szCs w:val="22"/>
          <w:color w:val="231F20"/>
        </w:rPr>
        <w:t>”) upon any issuance of the Preferred Stock of any series.</w:t>
      </w:r>
    </w:p>
    <w:p>
      <w:pPr>
        <w:spacing w:after="0" w:line="185" w:lineRule="exact"/>
        <w:rPr>
          <w:rFonts w:ascii="Arial" w:cs="Arial" w:eastAsia="Arial" w:hAnsi="Arial"/>
          <w:sz w:val="22"/>
          <w:szCs w:val="22"/>
          <w:color w:val="231F20"/>
        </w:rPr>
      </w:pPr>
    </w:p>
    <w:p>
      <w:pPr>
        <w:ind w:right="180" w:firstLine="644"/>
        <w:spacing w:after="0" w:line="263" w:lineRule="auto"/>
        <w:tabs>
          <w:tab w:leader="none" w:pos="1080" w:val="left"/>
        </w:tabs>
        <w:numPr>
          <w:ilvl w:val="0"/>
          <w:numId w:val="4"/>
        </w:numPr>
        <w:rPr>
          <w:rFonts w:ascii="Arial" w:cs="Arial" w:eastAsia="Arial" w:hAnsi="Arial"/>
          <w:sz w:val="22"/>
          <w:szCs w:val="22"/>
          <w:color w:val="231F20"/>
        </w:rPr>
      </w:pPr>
      <w:r>
        <w:rPr>
          <w:rFonts w:ascii="Arial" w:cs="Arial" w:eastAsia="Arial" w:hAnsi="Arial"/>
          <w:sz w:val="22"/>
          <w:szCs w:val="22"/>
          <w:u w:val="single" w:color="auto"/>
          <w:color w:val="231F20"/>
        </w:rPr>
        <w:t>Voting</w:t>
      </w:r>
      <w:r>
        <w:rPr>
          <w:rFonts w:ascii="Arial" w:cs="Arial" w:eastAsia="Arial" w:hAnsi="Arial"/>
          <w:sz w:val="22"/>
          <w:szCs w:val="22"/>
          <w:color w:val="231F20"/>
        </w:rPr>
        <w:t>. Each holder of record of Common Stock, as such, shall have one vote for each share of Common Stock which is outstanding in his, her or its name on the books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120"/>
          </w:cols>
          <w:pgMar w:left="440" w:top="1422" w:right="339" w:bottom="1440" w:gutter="0" w:footer="0" w:header="0"/>
        </w:sectPr>
      </w:pPr>
    </w:p>
    <w:bookmarkStart w:id="4" w:name="page5"/>
    <w:bookmarkEnd w:id="4"/>
    <w:p>
      <w:pPr>
        <w:jc w:val="both"/>
        <w:ind w:right="180"/>
        <w:spacing w:after="0" w:line="260" w:lineRule="auto"/>
        <w:rPr>
          <w:sz w:val="20"/>
          <w:szCs w:val="20"/>
          <w:color w:val="auto"/>
        </w:rPr>
      </w:pPr>
      <w:r>
        <w:rPr>
          <w:rFonts w:ascii="Arial" w:cs="Arial" w:eastAsia="Arial" w:hAnsi="Arial"/>
          <w:sz w:val="21"/>
          <w:szCs w:val="21"/>
          <w:color w:val="231F20"/>
        </w:rPr>
        <w:t xml:space="preserve">Corporation on all matters on which stockholders are entitled to vote generally; </w:t>
      </w:r>
      <w:r>
        <w:rPr>
          <w:rFonts w:ascii="Arial" w:cs="Arial" w:eastAsia="Arial" w:hAnsi="Arial"/>
          <w:sz w:val="21"/>
          <w:szCs w:val="21"/>
          <w:u w:val="single" w:color="auto"/>
          <w:color w:val="231F20"/>
        </w:rPr>
        <w:t>provided</w:t>
      </w:r>
      <w:r>
        <w:rPr>
          <w:rFonts w:ascii="Arial" w:cs="Arial" w:eastAsia="Arial" w:hAnsi="Arial"/>
          <w:sz w:val="21"/>
          <w:szCs w:val="21"/>
          <w:color w:val="231F20"/>
        </w:rPr>
        <w:t xml:space="preserve">, </w:t>
      </w:r>
      <w:r>
        <w:rPr>
          <w:rFonts w:ascii="Arial" w:cs="Arial" w:eastAsia="Arial" w:hAnsi="Arial"/>
          <w:sz w:val="21"/>
          <w:szCs w:val="21"/>
          <w:u w:val="single" w:color="auto"/>
          <w:color w:val="231F20"/>
        </w:rPr>
        <w:t>however</w:t>
      </w:r>
      <w:r>
        <w:rPr>
          <w:rFonts w:ascii="Arial" w:cs="Arial" w:eastAsia="Arial" w:hAnsi="Arial"/>
          <w:sz w:val="21"/>
          <w:szCs w:val="21"/>
          <w:color w:val="231F20"/>
        </w:rPr>
        <w:t>, that, except as otherwise required by law, holders of Common Stock shall not be entitled to vote on any amendment to this Certificate of Incorporation (which, as used herein, shall mean the certificate of incorporation of the Corporation, as amended and/or restated from time to time, including the terms of any certificate of designations of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Certificate of Incorporation or the DGCL. There shall be no cumulative voting.</w:t>
      </w:r>
    </w:p>
    <w:p>
      <w:pPr>
        <w:spacing w:after="0" w:line="180" w:lineRule="exact"/>
        <w:rPr>
          <w:sz w:val="20"/>
          <w:szCs w:val="20"/>
          <w:color w:val="auto"/>
        </w:rPr>
      </w:pPr>
    </w:p>
    <w:p>
      <w:pPr>
        <w:jc w:val="both"/>
        <w:ind w:right="180" w:firstLine="648"/>
        <w:spacing w:after="0" w:line="248" w:lineRule="auto"/>
        <w:rPr>
          <w:sz w:val="20"/>
          <w:szCs w:val="20"/>
          <w:color w:val="auto"/>
        </w:rPr>
      </w:pPr>
      <w:r>
        <w:rPr>
          <w:rFonts w:ascii="Arial" w:cs="Arial" w:eastAsia="Arial" w:hAnsi="Arial"/>
          <w:sz w:val="22"/>
          <w:szCs w:val="22"/>
          <w:color w:val="231F20"/>
        </w:rPr>
        <w:t>Subject to the rights of the holders of any series of Preferred Stock pursuant to the terms of this Certificate of Incorporation, the number of authorized shares of Common Stock may be increased or decreased (but not below the number of shares thereof then outstanding) by the affirmative vote of the holders of a majority of the voting power of the then outstanding shares of capital stock of the Corporation entitled to vote, irrespective of the provisions of Section 242(b)(2) of the DGCL.</w:t>
      </w:r>
    </w:p>
    <w:p>
      <w:pPr>
        <w:spacing w:after="0" w:line="192" w:lineRule="exact"/>
        <w:rPr>
          <w:sz w:val="20"/>
          <w:szCs w:val="20"/>
          <w:color w:val="auto"/>
        </w:rPr>
      </w:pPr>
    </w:p>
    <w:p>
      <w:pPr>
        <w:ind w:left="1040" w:hanging="396"/>
        <w:spacing w:after="0"/>
        <w:tabs>
          <w:tab w:leader="none" w:pos="1040" w:val="left"/>
        </w:tabs>
        <w:numPr>
          <w:ilvl w:val="0"/>
          <w:numId w:val="5"/>
        </w:numPr>
        <w:rPr>
          <w:rFonts w:ascii="Arial" w:cs="Arial" w:eastAsia="Arial" w:hAnsi="Arial"/>
          <w:sz w:val="19"/>
          <w:szCs w:val="19"/>
          <w:color w:val="231F20"/>
        </w:rPr>
      </w:pPr>
      <w:r>
        <w:rPr>
          <w:rFonts w:ascii="Arial" w:cs="Arial" w:eastAsia="Arial" w:hAnsi="Arial"/>
          <w:sz w:val="19"/>
          <w:szCs w:val="19"/>
          <w:u w:val="single" w:color="auto"/>
          <w:color w:val="231F20"/>
        </w:rPr>
        <w:t>Dividends</w:t>
      </w:r>
      <w:r>
        <w:rPr>
          <w:rFonts w:ascii="Arial" w:cs="Arial" w:eastAsia="Arial" w:hAnsi="Arial"/>
          <w:sz w:val="19"/>
          <w:szCs w:val="19"/>
          <w:color w:val="231F20"/>
        </w:rPr>
        <w:t>. Dividends may be declared and paid on the Common Stock if, as and when determined by the Board of</w:t>
      </w:r>
    </w:p>
    <w:p>
      <w:pPr>
        <w:spacing w:after="0" w:line="55" w:lineRule="exact"/>
        <w:rPr>
          <w:rFonts w:ascii="Arial" w:cs="Arial" w:eastAsia="Arial" w:hAnsi="Arial"/>
          <w:sz w:val="19"/>
          <w:szCs w:val="19"/>
          <w:color w:val="231F20"/>
        </w:rPr>
      </w:pPr>
    </w:p>
    <w:p>
      <w:pPr>
        <w:spacing w:after="0"/>
        <w:rPr>
          <w:rFonts w:ascii="Arial" w:cs="Arial" w:eastAsia="Arial" w:hAnsi="Arial"/>
          <w:sz w:val="19"/>
          <w:szCs w:val="19"/>
          <w:color w:val="231F20"/>
        </w:rPr>
      </w:pPr>
      <w:r>
        <w:rPr>
          <w:rFonts w:ascii="Arial" w:cs="Arial" w:eastAsia="Arial" w:hAnsi="Arial"/>
          <w:sz w:val="22"/>
          <w:szCs w:val="22"/>
          <w:color w:val="231F20"/>
        </w:rPr>
        <w:t>Directors.</w:t>
      </w:r>
    </w:p>
    <w:p>
      <w:pPr>
        <w:spacing w:after="0" w:line="201" w:lineRule="exact"/>
        <w:rPr>
          <w:rFonts w:ascii="Arial" w:cs="Arial" w:eastAsia="Arial" w:hAnsi="Arial"/>
          <w:sz w:val="19"/>
          <w:szCs w:val="19"/>
          <w:color w:val="231F20"/>
        </w:rPr>
      </w:pPr>
    </w:p>
    <w:p>
      <w:pPr>
        <w:jc w:val="both"/>
        <w:ind w:right="180" w:firstLine="644"/>
        <w:spacing w:after="0" w:line="250" w:lineRule="auto"/>
        <w:tabs>
          <w:tab w:leader="none" w:pos="1066" w:val="left"/>
        </w:tabs>
        <w:numPr>
          <w:ilvl w:val="0"/>
          <w:numId w:val="5"/>
        </w:numPr>
        <w:rPr>
          <w:rFonts w:ascii="Arial" w:cs="Arial" w:eastAsia="Arial" w:hAnsi="Arial"/>
          <w:sz w:val="22"/>
          <w:szCs w:val="22"/>
          <w:color w:val="231F20"/>
        </w:rPr>
      </w:pPr>
      <w:r>
        <w:rPr>
          <w:rFonts w:ascii="Arial" w:cs="Arial" w:eastAsia="Arial" w:hAnsi="Arial"/>
          <w:sz w:val="22"/>
          <w:szCs w:val="22"/>
          <w:u w:val="single" w:color="auto"/>
          <w:color w:val="231F20"/>
        </w:rPr>
        <w:t>Liquidation</w:t>
      </w:r>
      <w:r>
        <w:rPr>
          <w:rFonts w:ascii="Arial" w:cs="Arial" w:eastAsia="Arial" w:hAnsi="Arial"/>
          <w:sz w:val="22"/>
          <w:szCs w:val="22"/>
          <w:color w:val="231F20"/>
        </w:rPr>
        <w:t>. Upon the dissolution or liquidation of the Corporation, whether voluntary or involuntary, holders of Common Stock will be entitled to receive all assets of the Corporation available for distribution to its stockholders ratably in proportion to the number of shares held by them, subject to any preferential or other rights of any then outstanding Preferred Stock.</w:t>
      </w:r>
    </w:p>
    <w:p>
      <w:pPr>
        <w:spacing w:after="0" w:line="188" w:lineRule="exact"/>
        <w:rPr>
          <w:sz w:val="20"/>
          <w:szCs w:val="20"/>
          <w:color w:val="auto"/>
        </w:rPr>
      </w:pPr>
    </w:p>
    <w:p>
      <w:pPr>
        <w:ind w:left="1060" w:hanging="417"/>
        <w:spacing w:after="0"/>
        <w:tabs>
          <w:tab w:leader="none" w:pos="1060" w:val="left"/>
        </w:tabs>
        <w:numPr>
          <w:ilvl w:val="0"/>
          <w:numId w:val="6"/>
        </w:numPr>
        <w:rPr>
          <w:rFonts w:ascii="Arial" w:cs="Arial" w:eastAsia="Arial" w:hAnsi="Arial"/>
          <w:sz w:val="22"/>
          <w:szCs w:val="22"/>
          <w:color w:val="231F20"/>
        </w:rPr>
      </w:pPr>
      <w:r>
        <w:rPr>
          <w:rFonts w:ascii="Arial" w:cs="Arial" w:eastAsia="Arial" w:hAnsi="Arial"/>
          <w:sz w:val="22"/>
          <w:szCs w:val="22"/>
          <w:u w:val="single" w:color="auto"/>
          <w:color w:val="231F20"/>
        </w:rPr>
        <w:t>PREFERRED STOCK</w:t>
      </w:r>
      <w:r>
        <w:rPr>
          <w:rFonts w:ascii="Arial" w:cs="Arial" w:eastAsia="Arial" w:hAnsi="Arial"/>
          <w:sz w:val="22"/>
          <w:szCs w:val="22"/>
          <w:color w:val="231F20"/>
        </w:rPr>
        <w:t>.</w:t>
      </w:r>
    </w:p>
    <w:p>
      <w:pPr>
        <w:spacing w:after="0" w:line="220" w:lineRule="exact"/>
        <w:rPr>
          <w:sz w:val="20"/>
          <w:szCs w:val="20"/>
          <w:color w:val="auto"/>
        </w:rPr>
      </w:pPr>
    </w:p>
    <w:p>
      <w:pPr>
        <w:jc w:val="both"/>
        <w:ind w:right="180" w:firstLine="648"/>
        <w:spacing w:after="0" w:line="271" w:lineRule="auto"/>
        <w:rPr>
          <w:sz w:val="20"/>
          <w:szCs w:val="20"/>
          <w:color w:val="auto"/>
        </w:rPr>
      </w:pPr>
      <w:r>
        <w:rPr>
          <w:rFonts w:ascii="Arial" w:cs="Arial" w:eastAsia="Arial" w:hAnsi="Arial"/>
          <w:sz w:val="21"/>
          <w:szCs w:val="21"/>
          <w:color w:val="231F20"/>
        </w:rPr>
        <w:t>Preferred Stock may be issued from time to time in one or more series, each of such series to have such terms as stated or expressed in the resolution or resolutions providing for the issue of such series adopted by the Board of Directors as hereinafter provided and set forth in the certificate of designations for such series of Preferred Stock.</w:t>
      </w:r>
    </w:p>
    <w:p>
      <w:pPr>
        <w:spacing w:after="0" w:line="167" w:lineRule="exact"/>
        <w:rPr>
          <w:sz w:val="20"/>
          <w:szCs w:val="20"/>
          <w:color w:val="auto"/>
        </w:rPr>
      </w:pPr>
    </w:p>
    <w:p>
      <w:pPr>
        <w:jc w:val="both"/>
        <w:ind w:right="180" w:firstLine="648"/>
        <w:spacing w:after="0" w:line="288" w:lineRule="auto"/>
        <w:rPr>
          <w:sz w:val="20"/>
          <w:szCs w:val="20"/>
          <w:color w:val="auto"/>
        </w:rPr>
      </w:pPr>
      <w:r>
        <w:rPr>
          <w:rFonts w:ascii="Arial" w:cs="Arial" w:eastAsia="Arial" w:hAnsi="Arial"/>
          <w:sz w:val="19"/>
          <w:szCs w:val="19"/>
          <w:color w:val="231F20"/>
        </w:rPr>
        <w:t>Authority is hereby expressly granted to the Board of Directors from time to time to issue the Preferred Stock in one or more series, and in connection with the creation of any such series, by adopting a resolution or resolutions providing for the issuance of the shares thereof and by filing a certificate of designations relating thereto in accordance with the DGCL, to determine and fix the number of shares of such series and such powers (including voting powers, full or limited, or no voting powers), and such designations, preferences and relative, participating, optional or other special rights, if any, and qualifications, limitations or restrictions thereof, including without limitation thereof, dividend rights, conversion rights, redemption privileges and liquidation preferences, as shall be stated and expressed in such resolutions, all to the fullest extent now or hereafter permitted by the DGCL. The powers, preferences and relative, participating, optional and other special rights of each such series of Preferred Stock, and the qualifications, limitations or restrictions thereof, if any, may differ from those of any and all other series at any time outstanding. Without limiting the generality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120"/>
          </w:cols>
          <w:pgMar w:left="440" w:top="1428" w:right="339" w:bottom="1440" w:gutter="0" w:footer="0" w:header="0"/>
        </w:sectPr>
      </w:pPr>
    </w:p>
    <w:bookmarkStart w:id="5" w:name="page6"/>
    <w:bookmarkEnd w:id="5"/>
    <w:p>
      <w:pPr>
        <w:jc w:val="both"/>
        <w:ind w:left="120" w:right="180"/>
        <w:spacing w:after="0" w:line="253" w:lineRule="auto"/>
        <w:rPr>
          <w:sz w:val="20"/>
          <w:szCs w:val="20"/>
          <w:color w:val="auto"/>
        </w:rPr>
      </w:pPr>
      <w:r>
        <w:rPr>
          <w:rFonts w:ascii="Arial" w:cs="Arial" w:eastAsia="Arial" w:hAnsi="Arial"/>
          <w:sz w:val="22"/>
          <w:szCs w:val="22"/>
          <w:color w:val="231F20"/>
        </w:rPr>
        <w:t>of the foregoing, the resolution or resolutions providing for the issuance of any series of Preferred Stock may provide that such series shall be superior or rank equally or be junior to any other series of Preferred Stock to the extent permitted by law and this Certificate of Incorporation.</w:t>
      </w:r>
    </w:p>
    <w:p>
      <w:pPr>
        <w:spacing w:after="0" w:line="185"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231F20"/>
        </w:rPr>
        <w:t>Subject to the rights of the holders of any series of Preferred Stock pursuant to the terms of this Certificate of Incorporation or any resolution or resolutions providing for the issuance of such series of stock adopted by the Board of Directors, the number of authorized shares of Preferred Stock may be increased or decreased (but not below the number of shares thereof then outstanding) by the affirmative vote of the holders of a majority of the voting power of the then outstanding shares of capital stock of the Corporation entitled to vote, irrespective of the provisions of Section 242(b)(2) of the DGCL.</w:t>
      </w:r>
    </w:p>
    <w:p>
      <w:pPr>
        <w:spacing w:after="0" w:line="147" w:lineRule="exact"/>
        <w:rPr>
          <w:sz w:val="20"/>
          <w:szCs w:val="20"/>
          <w:color w:val="auto"/>
        </w:rPr>
      </w:pPr>
    </w:p>
    <w:p>
      <w:pPr>
        <w:jc w:val="both"/>
        <w:ind w:left="120" w:right="180" w:firstLine="648"/>
        <w:spacing w:after="0" w:line="250" w:lineRule="auto"/>
        <w:rPr>
          <w:sz w:val="20"/>
          <w:szCs w:val="20"/>
          <w:color w:val="auto"/>
        </w:rPr>
      </w:pPr>
      <w:r>
        <w:rPr>
          <w:rFonts w:ascii="Arial" w:cs="Arial" w:eastAsia="Arial" w:hAnsi="Arial"/>
          <w:sz w:val="22"/>
          <w:szCs w:val="22"/>
          <w:color w:val="231F20"/>
        </w:rPr>
        <w:t>FIFTH: Except as otherwise provided herein, the Corporation reserves the right to amend, alter, change or repeal any provision contained in this Certificate of Incorporation, in the manner now or hereafter prescribed by statute and this Certificate of Incorporation, and all rights conferred upon stockholders, directors or any other persons herein are granted subject to this reservation.</w:t>
      </w:r>
    </w:p>
    <w:p>
      <w:pPr>
        <w:spacing w:after="0" w:line="188" w:lineRule="exact"/>
        <w:rPr>
          <w:sz w:val="20"/>
          <w:szCs w:val="20"/>
          <w:color w:val="auto"/>
        </w:rPr>
      </w:pPr>
    </w:p>
    <w:p>
      <w:pPr>
        <w:jc w:val="both"/>
        <w:ind w:left="120" w:right="180" w:firstLine="648"/>
        <w:spacing w:after="0" w:line="259" w:lineRule="auto"/>
        <w:rPr>
          <w:sz w:val="20"/>
          <w:szCs w:val="20"/>
          <w:color w:val="auto"/>
        </w:rPr>
      </w:pPr>
      <w:r>
        <w:rPr>
          <w:rFonts w:ascii="Arial" w:cs="Arial" w:eastAsia="Arial" w:hAnsi="Arial"/>
          <w:sz w:val="21"/>
          <w:szCs w:val="21"/>
          <w:color w:val="231F20"/>
        </w:rPr>
        <w:t>SIXTH: In furtherance and not in limitation of the powers conferred upon it by the DGCL, and subject to the terms of any series of Preferred Stock, the Board of Directors shall have the power to adopt, amend, alter or repeal the Bylaws of the Corporation. The stockholders may not adopt, amend, alter or repeal the Bylaws of the Corporation, or adopt any provision inconsistent therewith, unless such action is approved, in addition to any other vote required by law and this Certificate of Incorporation, by the affirmative vote of the holders of at least two-thirds in voting power of the outstanding shares of capital stock of the Corporation entitled to vote thereon. In addition to any other vote required by law or this Certificate of Incorporation, the affirmative vote of the holders of at least two-thirds in voting power of the outstanding shares of capital stock of the Corporation entitled to vote thereon shall be required to amend or repeal, or to adopt any provision inconsistent with, this Article SIXTH.</w:t>
      </w:r>
    </w:p>
    <w:p>
      <w:pPr>
        <w:spacing w:after="0" w:line="179" w:lineRule="exact"/>
        <w:rPr>
          <w:sz w:val="20"/>
          <w:szCs w:val="20"/>
          <w:color w:val="auto"/>
        </w:rPr>
      </w:pPr>
    </w:p>
    <w:p>
      <w:pPr>
        <w:jc w:val="both"/>
        <w:ind w:left="120" w:right="180" w:firstLine="648"/>
        <w:spacing w:after="0" w:line="246" w:lineRule="auto"/>
        <w:rPr>
          <w:sz w:val="20"/>
          <w:szCs w:val="20"/>
          <w:color w:val="auto"/>
        </w:rPr>
      </w:pPr>
      <w:r>
        <w:rPr>
          <w:rFonts w:ascii="Arial" w:cs="Arial" w:eastAsia="Arial" w:hAnsi="Arial"/>
          <w:sz w:val="22"/>
          <w:szCs w:val="22"/>
          <w:color w:val="231F20"/>
        </w:rPr>
        <w:t>SEVENTH: Except to the extent that the DGCL prohibits the elimination or limitation of liability of directors for breaches of fiduciary duty as a director, no director of the Corporation shall be personally liable to the Corporation or its stockholders for monetary damages for any breach of fiduciary duty as a director, notwithstanding any provision of law imposing such liability. No amendment to or repeal of this provision shall apply to or have any effect on the liability or alleged liability of any director of the Corporation for or with respect to any acts or omissions of such director occurring prior to such amendment or repeal. If the DGCL is amended to permit further elimination or limitation of the personal liability of directors, then the liability of a director of the Corporation shall be eliminated or limited to the fullest extent permitted by the DGCL as so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6" w:name="page7"/>
    <w:bookmarkEnd w:id="6"/>
    <w:p>
      <w:pPr>
        <w:ind w:right="180" w:firstLine="648"/>
        <w:spacing w:after="0" w:line="263" w:lineRule="auto"/>
        <w:rPr>
          <w:sz w:val="20"/>
          <w:szCs w:val="20"/>
          <w:color w:val="auto"/>
        </w:rPr>
      </w:pPr>
      <w:r>
        <w:rPr>
          <w:rFonts w:ascii="Arial" w:cs="Arial" w:eastAsia="Arial" w:hAnsi="Arial"/>
          <w:sz w:val="22"/>
          <w:szCs w:val="22"/>
          <w:color w:val="231F20"/>
        </w:rPr>
        <w:t>EIGHTH: This Article EIGHTH is inserted for the management of the business and for the conduct of the affairs of the Corporation.</w:t>
      </w:r>
    </w:p>
    <w:p>
      <w:pPr>
        <w:spacing w:after="0" w:line="175" w:lineRule="exact"/>
        <w:rPr>
          <w:sz w:val="20"/>
          <w:szCs w:val="20"/>
          <w:color w:val="auto"/>
        </w:rPr>
      </w:pPr>
    </w:p>
    <w:p>
      <w:pPr>
        <w:ind w:right="180" w:firstLine="644"/>
        <w:spacing w:after="0" w:line="263" w:lineRule="auto"/>
        <w:tabs>
          <w:tab w:leader="none" w:pos="1053" w:val="left"/>
        </w:tabs>
        <w:numPr>
          <w:ilvl w:val="0"/>
          <w:numId w:val="7"/>
        </w:numPr>
        <w:rPr>
          <w:rFonts w:ascii="Arial" w:cs="Arial" w:eastAsia="Arial" w:hAnsi="Arial"/>
          <w:sz w:val="22"/>
          <w:szCs w:val="22"/>
          <w:color w:val="231F20"/>
        </w:rPr>
      </w:pPr>
      <w:r>
        <w:rPr>
          <w:rFonts w:ascii="Arial" w:cs="Arial" w:eastAsia="Arial" w:hAnsi="Arial"/>
          <w:sz w:val="22"/>
          <w:szCs w:val="22"/>
          <w:u w:val="single" w:color="auto"/>
          <w:color w:val="231F20"/>
        </w:rPr>
        <w:t>General Powers</w:t>
      </w:r>
      <w:r>
        <w:rPr>
          <w:rFonts w:ascii="Arial" w:cs="Arial" w:eastAsia="Arial" w:hAnsi="Arial"/>
          <w:sz w:val="22"/>
          <w:szCs w:val="22"/>
          <w:color w:val="231F20"/>
        </w:rPr>
        <w:t>. Except as otherwise provided in this Certificate of Incorporation or the DGCL, the business and affairs of the Corporation shall be managed by or under the direction of the Board of Directors.</w:t>
      </w:r>
    </w:p>
    <w:p>
      <w:pPr>
        <w:spacing w:after="0" w:line="174" w:lineRule="exact"/>
        <w:rPr>
          <w:rFonts w:ascii="Arial" w:cs="Arial" w:eastAsia="Arial" w:hAnsi="Arial"/>
          <w:sz w:val="22"/>
          <w:szCs w:val="22"/>
          <w:color w:val="231F20"/>
        </w:rPr>
      </w:pPr>
    </w:p>
    <w:p>
      <w:pPr>
        <w:jc w:val="both"/>
        <w:ind w:firstLine="644"/>
        <w:spacing w:after="0" w:line="250" w:lineRule="auto"/>
        <w:tabs>
          <w:tab w:leader="none" w:pos="1039" w:val="left"/>
        </w:tabs>
        <w:numPr>
          <w:ilvl w:val="0"/>
          <w:numId w:val="7"/>
        </w:numPr>
        <w:rPr>
          <w:rFonts w:ascii="Arial" w:cs="Arial" w:eastAsia="Arial" w:hAnsi="Arial"/>
          <w:sz w:val="22"/>
          <w:szCs w:val="22"/>
          <w:color w:val="231F20"/>
        </w:rPr>
      </w:pPr>
      <w:r>
        <w:rPr>
          <w:rFonts w:ascii="Arial" w:cs="Arial" w:eastAsia="Arial" w:hAnsi="Arial"/>
          <w:sz w:val="22"/>
          <w:szCs w:val="22"/>
          <w:u w:val="single" w:color="auto"/>
          <w:color w:val="231F20"/>
        </w:rPr>
        <w:t>Number of Directors; Election of Directors</w:t>
      </w:r>
      <w:r>
        <w:rPr>
          <w:rFonts w:ascii="Arial" w:cs="Arial" w:eastAsia="Arial" w:hAnsi="Arial"/>
          <w:sz w:val="22"/>
          <w:szCs w:val="22"/>
          <w:color w:val="231F20"/>
        </w:rPr>
        <w:t>. Subject to the rights of holders of any series of Preferred Stock to elect directors, the number of directors of the Corporation shall be established from time to time solely by resolution of the Board of Directors. Election of directors need not be by written ballot, except as and to the extent provided in the Bylaws of the Corporation.</w:t>
      </w:r>
    </w:p>
    <w:p>
      <w:pPr>
        <w:spacing w:after="0" w:line="187" w:lineRule="exact"/>
        <w:rPr>
          <w:rFonts w:ascii="Arial" w:cs="Arial" w:eastAsia="Arial" w:hAnsi="Arial"/>
          <w:sz w:val="22"/>
          <w:szCs w:val="22"/>
          <w:color w:val="231F20"/>
        </w:rPr>
      </w:pPr>
    </w:p>
    <w:p>
      <w:pPr>
        <w:jc w:val="both"/>
        <w:ind w:right="180" w:firstLine="644"/>
        <w:spacing w:after="0" w:line="288" w:lineRule="auto"/>
        <w:tabs>
          <w:tab w:leader="none" w:pos="1107" w:val="left"/>
        </w:tabs>
        <w:numPr>
          <w:ilvl w:val="0"/>
          <w:numId w:val="7"/>
        </w:numPr>
        <w:rPr>
          <w:rFonts w:ascii="Arial" w:cs="Arial" w:eastAsia="Arial" w:hAnsi="Arial"/>
          <w:sz w:val="19"/>
          <w:szCs w:val="19"/>
          <w:color w:val="231F20"/>
        </w:rPr>
      </w:pPr>
      <w:r>
        <w:rPr>
          <w:rFonts w:ascii="Arial" w:cs="Arial" w:eastAsia="Arial" w:hAnsi="Arial"/>
          <w:sz w:val="19"/>
          <w:szCs w:val="19"/>
          <w:u w:val="single" w:color="auto"/>
          <w:color w:val="231F20"/>
        </w:rPr>
        <w:t>Classes of Directors</w:t>
      </w:r>
      <w:r>
        <w:rPr>
          <w:rFonts w:ascii="Arial" w:cs="Arial" w:eastAsia="Arial" w:hAnsi="Arial"/>
          <w:sz w:val="19"/>
          <w:szCs w:val="19"/>
          <w:color w:val="231F20"/>
        </w:rPr>
        <w:t>. The directors (other than those directors elected by the holders of any series of Preferred Stock, voting separately as a series or together with one or more other such series, as the case may be, unless otherwise provided by the terms of such preferred stock) shall be divided into three classes, designated as Class I, Class II and Class III. Each class shall consist, as nearly as may be possible, of one-third of the total number of directors constituting the entire Board of Directors. If the number of such directors is changed, any increase or decrease shall be apportioned among the classes so as to maintain the number of directors in each class as nearly equal as possible, and any such additional director of any class elected to fill a newly created directorship resulting from an increase in such class shall hold office for a term that shall coincide with the remaining term of that class, but in no case shall a decrease in the number of directors remove or shorten the term of any incumbent director. The Board of Directors is authorized to assign members of the Board of Directors already in office to Class I, Class II or Class III.</w:t>
      </w:r>
    </w:p>
    <w:p>
      <w:pPr>
        <w:spacing w:after="0" w:line="159" w:lineRule="exact"/>
        <w:rPr>
          <w:rFonts w:ascii="Arial" w:cs="Arial" w:eastAsia="Arial" w:hAnsi="Arial"/>
          <w:sz w:val="19"/>
          <w:szCs w:val="19"/>
          <w:color w:val="231F20"/>
        </w:rPr>
      </w:pPr>
    </w:p>
    <w:p>
      <w:pPr>
        <w:jc w:val="both"/>
        <w:ind w:firstLine="644"/>
        <w:spacing w:after="0" w:line="245" w:lineRule="auto"/>
        <w:tabs>
          <w:tab w:leader="none" w:pos="1093" w:val="left"/>
        </w:tabs>
        <w:numPr>
          <w:ilvl w:val="0"/>
          <w:numId w:val="7"/>
        </w:numPr>
        <w:rPr>
          <w:rFonts w:ascii="Arial" w:cs="Arial" w:eastAsia="Arial" w:hAnsi="Arial"/>
          <w:sz w:val="22"/>
          <w:szCs w:val="22"/>
          <w:color w:val="231F20"/>
        </w:rPr>
      </w:pPr>
      <w:r>
        <w:rPr>
          <w:rFonts w:ascii="Arial" w:cs="Arial" w:eastAsia="Arial" w:hAnsi="Arial"/>
          <w:sz w:val="22"/>
          <w:szCs w:val="22"/>
          <w:u w:val="single" w:color="auto"/>
          <w:color w:val="231F20"/>
        </w:rPr>
        <w:t>Terms of Office</w:t>
      </w:r>
      <w:r>
        <w:rPr>
          <w:rFonts w:ascii="Arial" w:cs="Arial" w:eastAsia="Arial" w:hAnsi="Arial"/>
          <w:sz w:val="22"/>
          <w:szCs w:val="22"/>
          <w:color w:val="231F20"/>
        </w:rPr>
        <w:t xml:space="preserve">. Subject to the rights of holders of any series of Preferred Stock to elect directors, each director shall serve for a term ending on the date of the third annual meeting of stockholders following the annual meeting of stockholders at which such director was elected; </w:t>
      </w:r>
      <w:r>
        <w:rPr>
          <w:rFonts w:ascii="Arial" w:cs="Arial" w:eastAsia="Arial" w:hAnsi="Arial"/>
          <w:sz w:val="22"/>
          <w:szCs w:val="22"/>
          <w:u w:val="single" w:color="auto"/>
          <w:color w:val="231F20"/>
        </w:rPr>
        <w:t>provided</w:t>
      </w:r>
      <w:r>
        <w:rPr>
          <w:rFonts w:ascii="Arial" w:cs="Arial" w:eastAsia="Arial" w:hAnsi="Arial"/>
          <w:sz w:val="22"/>
          <w:szCs w:val="22"/>
          <w:color w:val="231F20"/>
        </w:rPr>
        <w:t xml:space="preserve"> that each director initially assigned to Class I shall initially serve for a term expiring at the Corporation’s first annual meeting of stockholders following the date the Common Stock is first publicly traded (the “</w:t>
      </w:r>
      <w:r>
        <w:rPr>
          <w:rFonts w:ascii="Arial" w:cs="Arial" w:eastAsia="Arial" w:hAnsi="Arial"/>
          <w:sz w:val="22"/>
          <w:szCs w:val="22"/>
          <w:u w:val="single" w:color="auto"/>
          <w:color w:val="231F20"/>
        </w:rPr>
        <w:t>IPO Date</w:t>
      </w:r>
      <w:r>
        <w:rPr>
          <w:rFonts w:ascii="Arial" w:cs="Arial" w:eastAsia="Arial" w:hAnsi="Arial"/>
          <w:sz w:val="22"/>
          <w:szCs w:val="22"/>
          <w:color w:val="231F20"/>
        </w:rPr>
        <w:t xml:space="preserve">”); each director initially assigned to Class II shall initially serve for a term expiring at the Corporation’s second annual meeting of stockholders following the IPO Date; and each director initially assigned to Class III shall initially serve for a term expiring at the Corporation’s third annual meeting of stockholders following the IPO Date; </w:t>
      </w:r>
      <w:r>
        <w:rPr>
          <w:rFonts w:ascii="Arial" w:cs="Arial" w:eastAsia="Arial" w:hAnsi="Arial"/>
          <w:sz w:val="22"/>
          <w:szCs w:val="22"/>
          <w:u w:val="single" w:color="auto"/>
          <w:color w:val="231F20"/>
        </w:rPr>
        <w:t>provided further</w:t>
      </w:r>
      <w:r>
        <w:rPr>
          <w:rFonts w:ascii="Arial" w:cs="Arial" w:eastAsia="Arial" w:hAnsi="Arial"/>
          <w:sz w:val="22"/>
          <w:szCs w:val="22"/>
          <w:color w:val="231F20"/>
        </w:rPr>
        <w:t>, that each director shall continue in office until the election and qualification of his or her successor or until his or her earlier death, resignation or removal.</w:t>
      </w:r>
    </w:p>
    <w:p>
      <w:pPr>
        <w:spacing w:after="0" w:line="200" w:lineRule="exact"/>
        <w:rPr>
          <w:rFonts w:ascii="Arial" w:cs="Arial" w:eastAsia="Arial" w:hAnsi="Arial"/>
          <w:sz w:val="22"/>
          <w:szCs w:val="22"/>
          <w:color w:val="231F20"/>
        </w:rPr>
      </w:pPr>
    </w:p>
    <w:p>
      <w:pPr>
        <w:jc w:val="both"/>
        <w:ind w:right="180" w:firstLine="644"/>
        <w:spacing w:after="0" w:line="248" w:lineRule="auto"/>
        <w:tabs>
          <w:tab w:leader="none" w:pos="1026" w:val="left"/>
        </w:tabs>
        <w:numPr>
          <w:ilvl w:val="0"/>
          <w:numId w:val="7"/>
        </w:numPr>
        <w:rPr>
          <w:rFonts w:ascii="Arial" w:cs="Arial" w:eastAsia="Arial" w:hAnsi="Arial"/>
          <w:sz w:val="22"/>
          <w:szCs w:val="22"/>
          <w:color w:val="231F20"/>
        </w:rPr>
      </w:pPr>
      <w:r>
        <w:rPr>
          <w:rFonts w:ascii="Arial" w:cs="Arial" w:eastAsia="Arial" w:hAnsi="Arial"/>
          <w:sz w:val="22"/>
          <w:szCs w:val="22"/>
          <w:u w:val="single" w:color="auto"/>
          <w:color w:val="231F20"/>
        </w:rPr>
        <w:t>Removal</w:t>
      </w:r>
      <w:r>
        <w:rPr>
          <w:rFonts w:ascii="Arial" w:cs="Arial" w:eastAsia="Arial" w:hAnsi="Arial"/>
          <w:sz w:val="22"/>
          <w:szCs w:val="22"/>
          <w:color w:val="231F20"/>
        </w:rPr>
        <w:t>. Subject to the rights of holders of any series of Preferred Stock and except for such additional directors, if any, as are elected by the holders of any series of Preferred Stock as provided for or fixed pursuant to this Certificate of Incorporation, directors of the Corporation may be removed from office only for cause and only by the affirmative vote of the holders of at least two-thirds in voting power of the outstanding shares of capital stock of the Corporation entitled to vote at an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120"/>
          </w:cols>
          <w:pgMar w:left="440" w:top="1428" w:right="339" w:bottom="1440" w:gutter="0" w:footer="0" w:header="0"/>
        </w:sectPr>
      </w:pPr>
    </w:p>
    <w:bookmarkStart w:id="7" w:name="page8"/>
    <w:bookmarkEnd w:id="7"/>
    <w:p>
      <w:pPr>
        <w:ind w:left="-20" w:firstLine="656"/>
        <w:spacing w:after="0" w:line="297" w:lineRule="auto"/>
        <w:tabs>
          <w:tab w:leader="none" w:pos="1006" w:val="left"/>
        </w:tabs>
        <w:numPr>
          <w:ilvl w:val="0"/>
          <w:numId w:val="8"/>
        </w:numPr>
        <w:rPr>
          <w:rFonts w:ascii="Arial" w:cs="Arial" w:eastAsia="Arial" w:hAnsi="Arial"/>
          <w:sz w:val="19"/>
          <w:szCs w:val="19"/>
          <w:color w:val="231F20"/>
        </w:rPr>
      </w:pPr>
      <w:r>
        <w:rPr>
          <w:rFonts w:ascii="Arial" w:cs="Arial" w:eastAsia="Arial" w:hAnsi="Arial"/>
          <w:sz w:val="19"/>
          <w:szCs w:val="19"/>
          <w:u w:val="single" w:color="auto"/>
          <w:color w:val="231F20"/>
        </w:rPr>
        <w:t>Vacancies</w:t>
      </w:r>
      <w:r>
        <w:rPr>
          <w:rFonts w:ascii="Arial" w:cs="Arial" w:eastAsia="Arial" w:hAnsi="Arial"/>
          <w:sz w:val="19"/>
          <w:szCs w:val="19"/>
          <w:color w:val="231F20"/>
        </w:rPr>
        <w:t>. Subject to the rights of holders of any series of Preferred Stock, any vacancy or newly created directorship in the Board of Directors, however occurring, shall be filled only by vote of a majority of the directors then in office, although less than a quorum, or by a sole remaining director and shall not be filled by the stockholders. A director elected to fill a vacancy shall hold office until the expiration of the term of the class for which such director shall have been chosen, subject to the election and qualification of a successor and to such director’s earlier death, resignation or removal.</w:t>
      </w:r>
    </w:p>
    <w:p>
      <w:pPr>
        <w:spacing w:after="0" w:line="146" w:lineRule="exact"/>
        <w:rPr>
          <w:rFonts w:ascii="Arial" w:cs="Arial" w:eastAsia="Arial" w:hAnsi="Arial"/>
          <w:sz w:val="19"/>
          <w:szCs w:val="19"/>
          <w:color w:val="231F20"/>
        </w:rPr>
      </w:pPr>
    </w:p>
    <w:p>
      <w:pPr>
        <w:jc w:val="both"/>
        <w:ind w:left="100" w:right="180" w:firstLine="644"/>
        <w:spacing w:after="0" w:line="286" w:lineRule="auto"/>
        <w:tabs>
          <w:tab w:leader="none" w:pos="1139" w:val="left"/>
        </w:tabs>
        <w:numPr>
          <w:ilvl w:val="1"/>
          <w:numId w:val="8"/>
        </w:numPr>
        <w:rPr>
          <w:rFonts w:ascii="Arial" w:cs="Arial" w:eastAsia="Arial" w:hAnsi="Arial"/>
          <w:sz w:val="19"/>
          <w:szCs w:val="19"/>
          <w:color w:val="231F20"/>
        </w:rPr>
      </w:pPr>
      <w:r>
        <w:rPr>
          <w:rFonts w:ascii="Arial" w:cs="Arial" w:eastAsia="Arial" w:hAnsi="Arial"/>
          <w:sz w:val="19"/>
          <w:szCs w:val="19"/>
          <w:u w:val="single" w:color="auto"/>
          <w:color w:val="231F20"/>
        </w:rPr>
        <w:t>Preferred Stock Directors</w:t>
      </w:r>
      <w:r>
        <w:rPr>
          <w:rFonts w:ascii="Arial" w:cs="Arial" w:eastAsia="Arial" w:hAnsi="Arial"/>
          <w:sz w:val="19"/>
          <w:szCs w:val="19"/>
          <w:color w:val="231F20"/>
        </w:rPr>
        <w:t>. During any period when the holders of any series of Preferred Stock, voting separately as a series or together with one or more series, have the right to elect additional directors,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resignation, retirement, disqualification or removal. Except as otherwise provided by the Board of Directors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be reduced accordingly.</w:t>
      </w:r>
    </w:p>
    <w:p>
      <w:pPr>
        <w:spacing w:after="0" w:line="200" w:lineRule="exact"/>
        <w:rPr>
          <w:rFonts w:ascii="Arial" w:cs="Arial" w:eastAsia="Arial" w:hAnsi="Arial"/>
          <w:sz w:val="19"/>
          <w:szCs w:val="19"/>
          <w:color w:val="231F20"/>
        </w:rPr>
      </w:pPr>
    </w:p>
    <w:p>
      <w:pPr>
        <w:spacing w:after="0" w:line="222" w:lineRule="exact"/>
        <w:rPr>
          <w:rFonts w:ascii="Arial" w:cs="Arial" w:eastAsia="Arial" w:hAnsi="Arial"/>
          <w:sz w:val="19"/>
          <w:szCs w:val="19"/>
          <w:color w:val="231F20"/>
        </w:rPr>
      </w:pPr>
    </w:p>
    <w:p>
      <w:pPr>
        <w:jc w:val="both"/>
        <w:ind w:left="100" w:right="200" w:firstLine="644"/>
        <w:spacing w:after="0" w:line="312" w:lineRule="auto"/>
        <w:tabs>
          <w:tab w:leader="none" w:pos="1247" w:val="left"/>
        </w:tabs>
        <w:numPr>
          <w:ilvl w:val="1"/>
          <w:numId w:val="8"/>
        </w:numPr>
        <w:rPr>
          <w:rFonts w:ascii="Arial" w:cs="Arial" w:eastAsia="Arial" w:hAnsi="Arial"/>
          <w:sz w:val="19"/>
          <w:szCs w:val="19"/>
          <w:color w:val="231F20"/>
        </w:rPr>
      </w:pPr>
      <w:r>
        <w:rPr>
          <w:rFonts w:ascii="Arial" w:cs="Arial" w:eastAsia="Arial" w:hAnsi="Arial"/>
          <w:sz w:val="19"/>
          <w:szCs w:val="19"/>
          <w:u w:val="single" w:color="auto"/>
          <w:color w:val="231F20"/>
        </w:rPr>
        <w:t>Stockholder Nominations and Introduction of Business, Etc</w:t>
      </w:r>
      <w:r>
        <w:rPr>
          <w:rFonts w:ascii="Arial" w:cs="Arial" w:eastAsia="Arial" w:hAnsi="Arial"/>
          <w:sz w:val="19"/>
          <w:szCs w:val="19"/>
          <w:color w:val="231F20"/>
        </w:rPr>
        <w:t>. Subject to the rights of holders of any series of Preferred Stock, advance notice of stockholder nominations for election of directors and other business to be brought by stockholders before a meeting of stockholders shall be given in the manner provided by the Bylaws of the Corporation.</w:t>
      </w:r>
    </w:p>
    <w:p>
      <w:pPr>
        <w:spacing w:after="0" w:line="133" w:lineRule="exact"/>
        <w:rPr>
          <w:rFonts w:ascii="Arial" w:cs="Arial" w:eastAsia="Arial" w:hAnsi="Arial"/>
          <w:sz w:val="19"/>
          <w:szCs w:val="19"/>
          <w:color w:val="231F20"/>
        </w:rPr>
      </w:pPr>
    </w:p>
    <w:p>
      <w:pPr>
        <w:jc w:val="both"/>
        <w:ind w:left="100" w:right="180" w:firstLine="644"/>
        <w:spacing w:after="0" w:line="250" w:lineRule="auto"/>
        <w:tabs>
          <w:tab w:leader="none" w:pos="1207" w:val="left"/>
        </w:tabs>
        <w:numPr>
          <w:ilvl w:val="1"/>
          <w:numId w:val="8"/>
        </w:numPr>
        <w:rPr>
          <w:rFonts w:ascii="Arial" w:cs="Arial" w:eastAsia="Arial" w:hAnsi="Arial"/>
          <w:sz w:val="22"/>
          <w:szCs w:val="22"/>
          <w:color w:val="231F20"/>
        </w:rPr>
      </w:pPr>
      <w:r>
        <w:rPr>
          <w:rFonts w:ascii="Arial" w:cs="Arial" w:eastAsia="Arial" w:hAnsi="Arial"/>
          <w:sz w:val="22"/>
          <w:szCs w:val="22"/>
          <w:u w:val="single" w:color="auto"/>
          <w:color w:val="231F20"/>
        </w:rPr>
        <w:t>Amendments to Article</w:t>
      </w:r>
      <w:r>
        <w:rPr>
          <w:rFonts w:ascii="Arial" w:cs="Arial" w:eastAsia="Arial" w:hAnsi="Arial"/>
          <w:sz w:val="22"/>
          <w:szCs w:val="22"/>
          <w:color w:val="231F20"/>
        </w:rPr>
        <w:t>. In addition to any other vote required by law or this Certificate of Incorporation,, the affirmative vote of the holders of at least two-thirds in voting power of the outstanding shares of capital stock of the Corporation entitled to vote thereon shall be required to amend or repeal, or to adopt any provision inconsistent with, this Article EIGHTH.</w:t>
      </w:r>
    </w:p>
    <w:p>
      <w:pPr>
        <w:spacing w:after="0" w:line="188" w:lineRule="exact"/>
        <w:rPr>
          <w:sz w:val="20"/>
          <w:szCs w:val="20"/>
          <w:color w:val="auto"/>
        </w:rPr>
      </w:pPr>
    </w:p>
    <w:p>
      <w:pPr>
        <w:jc w:val="both"/>
        <w:ind w:left="100" w:right="180" w:firstLine="648"/>
        <w:spacing w:after="0" w:line="247" w:lineRule="auto"/>
        <w:rPr>
          <w:sz w:val="20"/>
          <w:szCs w:val="20"/>
          <w:color w:val="auto"/>
        </w:rPr>
      </w:pPr>
      <w:r>
        <w:rPr>
          <w:rFonts w:ascii="Arial" w:cs="Arial" w:eastAsia="Arial" w:hAnsi="Arial"/>
          <w:sz w:val="22"/>
          <w:szCs w:val="22"/>
          <w:color w:val="231F20"/>
        </w:rPr>
        <w:t xml:space="preserve">NINTH: No action that is required or permitted to be taken by the stockholders of the Corporation at any annual or special meeting of stockholders may be effected by written consent of stockholders in lieu of a meeting; </w:t>
      </w:r>
      <w:r>
        <w:rPr>
          <w:rFonts w:ascii="Arial" w:cs="Arial" w:eastAsia="Arial" w:hAnsi="Arial"/>
          <w:sz w:val="22"/>
          <w:szCs w:val="22"/>
          <w:u w:val="single" w:color="auto"/>
          <w:color w:val="231F20"/>
        </w:rPr>
        <w:t>provided</w:t>
      </w:r>
      <w:r>
        <w:rPr>
          <w:rFonts w:ascii="Arial" w:cs="Arial" w:eastAsia="Arial" w:hAnsi="Arial"/>
          <w:sz w:val="22"/>
          <w:szCs w:val="22"/>
          <w:color w:val="231F20"/>
        </w:rPr>
        <w:t xml:space="preserve">, </w:t>
      </w:r>
      <w:r>
        <w:rPr>
          <w:rFonts w:ascii="Arial" w:cs="Arial" w:eastAsia="Arial" w:hAnsi="Arial"/>
          <w:sz w:val="22"/>
          <w:szCs w:val="22"/>
          <w:u w:val="single" w:color="auto"/>
          <w:color w:val="231F20"/>
        </w:rPr>
        <w:t>however</w:t>
      </w:r>
      <w:r>
        <w:rPr>
          <w:rFonts w:ascii="Arial" w:cs="Arial" w:eastAsia="Arial" w:hAnsi="Arial"/>
          <w:sz w:val="22"/>
          <w:szCs w:val="22"/>
          <w:color w:val="231F20"/>
        </w:rPr>
        <w:t>,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 In addition to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20"/>
          </w:cols>
          <w:pgMar w:left="340" w:top="1428" w:right="339" w:bottom="1440" w:gutter="0" w:footer="0" w:header="0"/>
        </w:sectPr>
      </w:pPr>
    </w:p>
    <w:bookmarkStart w:id="8" w:name="page9"/>
    <w:bookmarkEnd w:id="8"/>
    <w:p>
      <w:pPr>
        <w:jc w:val="both"/>
        <w:spacing w:after="0" w:line="253" w:lineRule="auto"/>
        <w:rPr>
          <w:sz w:val="20"/>
          <w:szCs w:val="20"/>
          <w:color w:val="auto"/>
        </w:rPr>
      </w:pPr>
      <w:r>
        <w:rPr>
          <w:rFonts w:ascii="Arial" w:cs="Arial" w:eastAsia="Arial" w:hAnsi="Arial"/>
          <w:sz w:val="22"/>
          <w:szCs w:val="22"/>
          <w:color w:val="231F20"/>
        </w:rPr>
        <w:t>vote required by law or this Certificate of Incorporation,, the affirmative vote of the holders of at least two-thirds in voting power of the outstanding shares of capital stock of the Corporation entitled to vote thereon shall be required to amend or repeal, or to adopt any provision inconsistent with, this Article NINTH.</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231F20"/>
        </w:rPr>
        <w:t>TENTH: Subject to the rights of the holders of any series of Preferred Stock, special meetings of stockholders for any purpose or purposes may be called at any time only by the Board of Directors, the chairperson of the Board of Directors, or the chief executive officer or president (in the absence of a chief executive officer) of the Corporation, and may not be called by any other person or persons. Business transacted at any special meeting of stockholders shall be limited to the purpose or purposes stated in the notice of meeting. In addition to any other vote required by law or this Certificate of Incorporation,, the affirmative vote of the holders of at least two-thirds in voting power of the outstanding shares of capital stock of the Corporation entitled to vote thereon shall be required to amend or repeal, or to adopt any provision inconsistent with, this Article TENTH.</w:t>
      </w:r>
    </w:p>
    <w:p>
      <w:pPr>
        <w:spacing w:after="0" w:line="18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231F20"/>
        </w:rPr>
        <w:t>ELEVENTH: Unless the Corporation consents in writing to the selection of an alternative forum, (a) the Court of Chancery of the State of Delaware (or, in the event that such court does not have jurisdiction, the federal district court for the District of Delaware or other state courts of the State of Delaware) shall, to the fullest extent permitted by law, be the sole and exclusive forum for (i) any derivative action or proceeding brought on behalf of the Corporation, (ii) any action asserting a claim of breach of fiduciary duty owed by, or any other wrongdoing by, any current or former director, officer, other employee or agent or stockholder of the Corporation to the Corporation or the Corporation’s stockholders, (iii) any action asserting a claim against the Corporation arising pursuant to any provision of the DGCL, this Certificate of Incorporation or the Bylaws of the Corporation, or as to which the DGCL confers exclusive jurisdiction on the Court of Chancery of the State of Delaware or (iv) any action asserting a claim governed by the internal affairs doctrine; and (b) the federal district courts of the United States of America shall be the exclusive forum for the resolution of any complaint asserting a cause of action arising under the Securities Act of 1933, as amended (the “</w:t>
      </w:r>
      <w:r>
        <w:rPr>
          <w:rFonts w:ascii="Arial" w:cs="Arial" w:eastAsia="Arial" w:hAnsi="Arial"/>
          <w:sz w:val="19"/>
          <w:szCs w:val="19"/>
          <w:u w:val="single" w:color="auto"/>
          <w:color w:val="231F20"/>
        </w:rPr>
        <w:t>Securities Act</w:t>
      </w:r>
      <w:r>
        <w:rPr>
          <w:rFonts w:ascii="Arial" w:cs="Arial" w:eastAsia="Arial" w:hAnsi="Arial"/>
          <w:sz w:val="19"/>
          <w:szCs w:val="19"/>
          <w:color w:val="231F20"/>
        </w:rPr>
        <w:t>”). If any action the subject matter of which is within the scope of clause (a) of the immediately preceding sentence is filed in a court other than a court located within the State of Delaware (a “</w:t>
      </w:r>
      <w:r>
        <w:rPr>
          <w:rFonts w:ascii="Arial" w:cs="Arial" w:eastAsia="Arial" w:hAnsi="Arial"/>
          <w:sz w:val="19"/>
          <w:szCs w:val="19"/>
          <w:u w:val="single" w:color="auto"/>
          <w:color w:val="231F20"/>
        </w:rPr>
        <w:t>Foreign Action</w:t>
      </w:r>
      <w:r>
        <w:rPr>
          <w:rFonts w:ascii="Arial" w:cs="Arial" w:eastAsia="Arial" w:hAnsi="Arial"/>
          <w:sz w:val="19"/>
          <w:szCs w:val="19"/>
          <w:color w:val="231F20"/>
        </w:rPr>
        <w:t>”) in the name of any stockholder, such stockholder shall be deemed to have consented to (x) the personal jurisdiction of the state and federal courts located within the State of Delaware in connection with any action brought in any such court to enforce the provisions of clause (a) of the immediately preceding sentence of this Article ELEVENTH, and (ii) having service of process made upon such stockholder in any such action by service upon such stockholder’s counsel in the Foreign Action as agent for such stockholder. To the fullest extent permitted by applicable law, any person or entity purchasing or otherwise acquiring or holding any interest in shares of capital stock of the Corporation shall be deemed to have notice of and consented to the provisions of this Article ELEVENTH. Notwithstanding the foregoing, this Article ELEVENTH shall not apply to claims seeking to enforce any liability or duty created by the Securities Exchange Act of 1934, as amended, or any other claim for which the U.S. federal courts have exclusive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940"/>
          </w:cols>
          <w:pgMar w:left="440" w:top="1428" w:right="519" w:bottom="1440" w:gutter="0" w:footer="0" w:header="0"/>
        </w:sectPr>
      </w:pPr>
    </w:p>
    <w:bookmarkStart w:id="9" w:name="page10"/>
    <w:bookmarkEnd w:id="9"/>
    <w:p>
      <w:pPr>
        <w:jc w:val="both"/>
        <w:ind w:firstLine="648"/>
        <w:spacing w:after="0" w:line="271" w:lineRule="auto"/>
        <w:rPr>
          <w:sz w:val="20"/>
          <w:szCs w:val="20"/>
          <w:color w:val="auto"/>
        </w:rPr>
      </w:pPr>
      <w:r>
        <w:rPr>
          <w:rFonts w:ascii="Arial" w:cs="Arial" w:eastAsia="Arial" w:hAnsi="Arial"/>
          <w:sz w:val="21"/>
          <w:szCs w:val="21"/>
          <w:color w:val="231F20"/>
        </w:rPr>
        <w:t>In addition to any other vote required by law or this Certificate of Incorporation, the affirmative vote of the holders of at least two-thirds in voting power of the outstanding shares of capital stock of the Corporation entitled to vote thereon shall be required to amend or repeal, or to adopt any provision inconsistent with, this Article ELEVENTH.</w:t>
      </w:r>
    </w:p>
    <w:p>
      <w:pPr>
        <w:spacing w:after="0" w:line="16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231F20"/>
        </w:rPr>
        <w:t>TWELFTH: To the fullest extent permitted by the laws of the State of Delaware and in accordance with Section 122(17) of the DGCL, (a) the Corporation hereby renounces all interest and expectancy that it otherwise would be entitled to have in, and all rights to be offered an opportunity to participate in, any business opportunity that from time to time may be presented to(i) any director of the Corporation, (ii) any stockholder, officer or other agent of the Corporation, or (iii) any Affiliate (as defined below) of any person or entity identified in the preceding clause (i) or clause (ii), but in all cases, excluding any such person in his or her capacity as a director, officer or other employee of the Corporation or any of its subsidiaries; (b) no stockholder and no director of the Corporation, in each case, that is not an officer or other employee of the Corporation or any of its subsidiaries, will have any duty to refrain from (i) engaging in a corporate opportunity in the same or similar line of business in which the Corporation or its subsidiaries from time to time are engaged or propose to engage, or (ii) otherwise competing, directly or indirectly, with the Corporation or any of its subsidiaries; and (c) if any stockholder or director, in each case, that is not an officer or other employee of the Corporation or any of its subsidiaries, acquires knowledge of a potential transaction or other business opportunity which may be a corporate opportunity for such stockholder or director, as the case may be, or, in each case, any of its Affiliates, on the one hand, and for the Corporation or any of its subsidiaries, on the other hand, such stockholder or director shall have no duty to communicate or offer such transaction or business opportunity to the Corporation or any of its subsidiaries, and such stockholder or director may take any and all such transactions or opportunities for itself or offer such transactions or opportunities to any other person or entity. The preceding sentence of this Article TWELFTH shall not apply to any potential transaction or business opportunity that is expressly offered to a director, officer or other employee of the Corporation or any of its subsidiaries solely in such person’s capacity as a director, officer or other employee of the Corporation or any of its subsidiaries. As used herein, “</w:t>
      </w:r>
      <w:r>
        <w:rPr>
          <w:rFonts w:ascii="Arial" w:cs="Arial" w:eastAsia="Arial" w:hAnsi="Arial"/>
          <w:sz w:val="19"/>
          <w:szCs w:val="19"/>
          <w:u w:val="single" w:color="auto"/>
          <w:color w:val="231F20"/>
        </w:rPr>
        <w:t>Affiliate</w:t>
      </w:r>
      <w:r>
        <w:rPr>
          <w:rFonts w:ascii="Arial" w:cs="Arial" w:eastAsia="Arial" w:hAnsi="Arial"/>
          <w:sz w:val="19"/>
          <w:szCs w:val="19"/>
          <w:color w:val="231F20"/>
        </w:rPr>
        <w:t>” means a person or entity that directly, or indirectly through one or more intermediaries, controls, is controlled by, or is under common control with, another person or entity.</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231F20"/>
        </w:rPr>
        <w:t>To the fullest extent permitted by the laws of the State of Delaware, no potential transaction or business opportunity may be deemed to be a corporate opportunity of the Corporation or any of its subsidiaries unless (a) the Corporation or such subsidiary would be permitted to undertake such transaction or opportunity in accordance with this Certificate of Incorporation, (b) the Corporation or such subsidiary has at such time sufficient financial resources to undertake such transaction or opportunity, (c) the Corporation or such subsidiary has an interest or expectancy in such transaction or opportunity and (d) such transaction or opportunity would be in the same or similar line of business in which the Corporation or such subsidiary is then engaged, or a line of business that is reasonably related to, or a reasonable extension of, such line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940"/>
          </w:cols>
          <w:pgMar w:left="440" w:top="1428" w:right="519" w:bottom="1440" w:gutter="0" w:footer="0" w:header="0"/>
        </w:sectPr>
      </w:pPr>
    </w:p>
    <w:bookmarkStart w:id="10" w:name="page11"/>
    <w:bookmarkEnd w:id="10"/>
    <w:p>
      <w:pPr>
        <w:ind w:firstLine="648"/>
        <w:spacing w:after="0" w:line="250" w:lineRule="auto"/>
        <w:rPr>
          <w:sz w:val="20"/>
          <w:szCs w:val="20"/>
          <w:color w:val="auto"/>
        </w:rPr>
      </w:pPr>
      <w:r>
        <w:rPr>
          <w:rFonts w:ascii="Arial" w:cs="Arial" w:eastAsia="Arial" w:hAnsi="Arial"/>
          <w:sz w:val="22"/>
          <w:szCs w:val="22"/>
          <w:color w:val="231F20"/>
        </w:rPr>
        <w:t>To the fullest extent permitted by law, no stockholder and no director will be liable to the Corporation or any of its subsidiaries or stockholders for beach of any duty (contractual or otherwise) solely by reason of any activities or omissions of the types referred to in this Article TWELFTH, except to the extent such actions or omissions are in breach of this Article TWELFTH.</w:t>
      </w:r>
    </w:p>
    <w:p>
      <w:pPr>
        <w:spacing w:after="0" w:line="188" w:lineRule="exact"/>
        <w:rPr>
          <w:sz w:val="20"/>
          <w:szCs w:val="20"/>
          <w:color w:val="auto"/>
        </w:rPr>
      </w:pPr>
    </w:p>
    <w:p>
      <w:pPr>
        <w:jc w:val="both"/>
        <w:ind w:left="120" w:right="140" w:firstLine="648"/>
        <w:spacing w:after="0" w:line="271" w:lineRule="auto"/>
        <w:rPr>
          <w:sz w:val="20"/>
          <w:szCs w:val="20"/>
          <w:color w:val="auto"/>
        </w:rPr>
      </w:pPr>
      <w:r>
        <w:rPr>
          <w:rFonts w:ascii="Arial" w:cs="Arial" w:eastAsia="Arial" w:hAnsi="Arial"/>
          <w:sz w:val="21"/>
          <w:szCs w:val="21"/>
          <w:color w:val="231F20"/>
        </w:rPr>
        <w:t>In addition to any other vote required by law or this Certificate of Incorporation,, the affirmative vote of the holders of at least two-thirds in voting power of the outstanding shares of capital stock of the Corporation entitled to vote thereon shall be required to amend or repeal, or to adopt any provision inconsistent with, this Article TWELFTH.</w:t>
      </w:r>
    </w:p>
    <w:p>
      <w:pPr>
        <w:spacing w:after="0" w:line="167" w:lineRule="exact"/>
        <w:rPr>
          <w:sz w:val="20"/>
          <w:szCs w:val="20"/>
          <w:color w:val="auto"/>
        </w:rPr>
      </w:pPr>
    </w:p>
    <w:p>
      <w:pPr>
        <w:jc w:val="both"/>
        <w:ind w:left="120" w:right="140" w:firstLine="648"/>
        <w:spacing w:after="0" w:line="246" w:lineRule="auto"/>
        <w:rPr>
          <w:sz w:val="20"/>
          <w:szCs w:val="20"/>
          <w:color w:val="auto"/>
        </w:rPr>
      </w:pPr>
      <w:r>
        <w:rPr>
          <w:rFonts w:ascii="Arial" w:cs="Arial" w:eastAsia="Arial" w:hAnsi="Arial"/>
          <w:sz w:val="22"/>
          <w:szCs w:val="22"/>
          <w:color w:val="231F20"/>
        </w:rPr>
        <w:t>THIRTEENTH: If any provision or provisions of this Certificate of Incorporation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Certificate of Incorporation (including, without limitation, each portion of any sentence of this Certificate of Incorporation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231F20"/>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00"/>
          </w:cols>
          <w:pgMar w:left="320" w:top="1428" w:right="379" w:bottom="1440" w:gutter="0" w:footer="0" w:header="0"/>
        </w:sectPr>
      </w:pPr>
    </w:p>
    <w:bookmarkStart w:id="11" w:name="page12"/>
    <w:bookmarkEnd w:id="11"/>
    <w:p>
      <w:pPr>
        <w:jc w:val="both"/>
        <w:ind w:firstLine="648"/>
        <w:spacing w:after="0" w:line="250" w:lineRule="auto"/>
        <w:rPr>
          <w:sz w:val="20"/>
          <w:szCs w:val="20"/>
          <w:color w:val="auto"/>
        </w:rPr>
      </w:pPr>
      <w:r>
        <w:rPr>
          <w:rFonts w:ascii="Arial" w:cs="Arial" w:eastAsia="Arial" w:hAnsi="Arial"/>
          <w:sz w:val="22"/>
          <w:szCs w:val="22"/>
          <w:color w:val="231F20"/>
        </w:rPr>
        <w:t>IN WITNESS WHEREOF, this Amended and Restated Certificate of Incorporation, which restates, integrates and amends the Eighth Amended and Restated Certificate of Incorporation of the Corporation, and which has been duly adopted in accordance with Sections 228, 242 and 245 of the DGCL, has been executed by its duly authorized officer this 23rd day of July, 2021.</w:t>
      </w:r>
    </w:p>
    <w:p>
      <w:pPr>
        <w:spacing w:after="0" w:line="26"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KALTURA, INC.</w:t>
      </w:r>
    </w:p>
    <w:p>
      <w:pPr>
        <w:spacing w:after="0" w:line="200" w:lineRule="exact"/>
        <w:rPr>
          <w:sz w:val="20"/>
          <w:szCs w:val="20"/>
          <w:color w:val="auto"/>
        </w:rPr>
      </w:pPr>
    </w:p>
    <w:p>
      <w:pPr>
        <w:spacing w:after="0" w:line="398" w:lineRule="exact"/>
        <w:rPr>
          <w:sz w:val="20"/>
          <w:szCs w:val="20"/>
          <w:color w:val="auto"/>
        </w:rPr>
      </w:pPr>
    </w:p>
    <w:p>
      <w:pPr>
        <w:ind w:left="5620"/>
        <w:spacing w:after="0"/>
        <w:tabs>
          <w:tab w:leader="none" w:pos="6220" w:val="left"/>
        </w:tabs>
        <w:rPr>
          <w:sz w:val="20"/>
          <w:szCs w:val="20"/>
          <w:color w:val="auto"/>
        </w:rPr>
      </w:pPr>
      <w:r>
        <w:rPr>
          <w:rFonts w:ascii="Arial" w:cs="Arial" w:eastAsia="Arial" w:hAnsi="Arial"/>
          <w:sz w:val="22"/>
          <w:szCs w:val="22"/>
          <w:color w:val="auto"/>
        </w:rPr>
        <w:t>By:</w:t>
        <w:tab/>
        <w:t>/s/ Ron Yekutiel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24130</wp:posOffset>
            </wp:positionV>
            <wp:extent cx="30003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51" w:lineRule="exact"/>
        <w:rPr>
          <w:sz w:val="20"/>
          <w:szCs w:val="20"/>
          <w:color w:val="auto"/>
        </w:rPr>
      </w:pPr>
    </w:p>
    <w:p>
      <w:pPr>
        <w:ind w:left="6240"/>
        <w:spacing w:after="0"/>
        <w:rPr>
          <w:sz w:val="20"/>
          <w:szCs w:val="20"/>
          <w:color w:val="auto"/>
        </w:rPr>
      </w:pPr>
      <w:r>
        <w:rPr>
          <w:rFonts w:ascii="Arial" w:cs="Arial" w:eastAsia="Arial" w:hAnsi="Arial"/>
          <w:sz w:val="22"/>
          <w:szCs w:val="22"/>
          <w:color w:val="auto"/>
        </w:rPr>
        <w:t>Name: Ron Yekutiel</w:t>
      </w:r>
    </w:p>
    <w:p>
      <w:pPr>
        <w:spacing w:after="0" w:line="58" w:lineRule="exact"/>
        <w:rPr>
          <w:sz w:val="20"/>
          <w:szCs w:val="20"/>
          <w:color w:val="auto"/>
        </w:rPr>
      </w:pPr>
    </w:p>
    <w:p>
      <w:pPr>
        <w:ind w:left="6240"/>
        <w:spacing w:after="0"/>
        <w:rPr>
          <w:sz w:val="20"/>
          <w:szCs w:val="20"/>
          <w:color w:val="auto"/>
        </w:rPr>
      </w:pPr>
      <w:r>
        <w:rPr>
          <w:rFonts w:ascii="Arial" w:cs="Arial" w:eastAsia="Arial" w:hAnsi="Arial"/>
          <w:sz w:val="22"/>
          <w:szCs w:val="22"/>
          <w:color w:val="auto"/>
        </w:rPr>
        <w:t>Title: Chief Executive Officer</w:t>
      </w:r>
    </w:p>
    <w:p>
      <w:pPr>
        <w:sectPr>
          <w:pgSz w:w="11900" w:h="16838" w:orient="portrait"/>
          <w:cols w:equalWidth="0" w:num="1">
            <w:col w:w="10940"/>
          </w:cols>
          <w:pgMar w:left="440" w:top="1428" w:right="51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100"/>
        <w:spacing w:after="0"/>
        <w:rPr>
          <w:sz w:val="20"/>
          <w:szCs w:val="20"/>
          <w:color w:val="auto"/>
        </w:rPr>
      </w:pPr>
      <w:r>
        <w:rPr>
          <w:rFonts w:ascii="Arial" w:cs="Arial" w:eastAsia="Arial" w:hAnsi="Arial"/>
          <w:sz w:val="21"/>
          <w:szCs w:val="21"/>
          <w:b w:val="1"/>
          <w:bCs w:val="1"/>
          <w:color w:val="auto"/>
        </w:rPr>
        <w:t>AMENDED AND RESTATED</w:t>
      </w:r>
    </w:p>
    <w:p>
      <w:pPr>
        <w:spacing w:after="0" w:line="39"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BYLAWS</w:t>
      </w:r>
    </w:p>
    <w:p>
      <w:pPr>
        <w:spacing w:after="0" w:line="344" w:lineRule="exact"/>
        <w:rPr>
          <w:sz w:val="20"/>
          <w:szCs w:val="20"/>
          <w:color w:val="auto"/>
        </w:rPr>
      </w:pPr>
    </w:p>
    <w:p>
      <w:pPr>
        <w:ind w:left="4360"/>
        <w:spacing w:after="0"/>
        <w:rPr>
          <w:sz w:val="20"/>
          <w:szCs w:val="20"/>
          <w:color w:val="auto"/>
        </w:rPr>
      </w:pPr>
      <w:r>
        <w:rPr>
          <w:rFonts w:ascii="Arial" w:cs="Arial" w:eastAsia="Arial" w:hAnsi="Arial"/>
          <w:sz w:val="22"/>
          <w:szCs w:val="22"/>
          <w:b w:val="1"/>
          <w:bCs w:val="1"/>
          <w:color w:val="auto"/>
        </w:rPr>
        <w:t>OF</w:t>
      </w:r>
    </w:p>
    <w:p>
      <w:pPr>
        <w:spacing w:after="0" w:line="368"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KALTURA, INC.</w:t>
      </w:r>
    </w:p>
    <w:p>
      <w:pPr>
        <w:spacing w:after="0" w:line="355"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(a Delaware corporation)</w:t>
      </w:r>
    </w:p>
    <w:p>
      <w:pPr>
        <w:sectPr>
          <w:pgSz w:w="11900" w:h="16838" w:orient="portrait"/>
          <w:cols w:equalWidth="0" w:num="1">
            <w:col w:w="10120"/>
          </w:cols>
          <w:pgMar w:left="1440" w:top="121" w:right="33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1240" w:type="dxa"/>
            <w:vAlign w:val="bottom"/>
          </w:tcPr>
          <w:p>
            <w:pPr>
              <w:spacing w:after="0"/>
              <w:rPr>
                <w:sz w:val="24"/>
                <w:szCs w:val="24"/>
                <w:color w:val="auto"/>
              </w:rPr>
            </w:pPr>
          </w:p>
        </w:tc>
        <w:tc>
          <w:tcPr>
            <w:tcW w:w="926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Page</w:t>
            </w:r>
          </w:p>
        </w:tc>
      </w:tr>
      <w:tr>
        <w:trPr>
          <w:trHeight w:val="550"/>
        </w:trPr>
        <w:tc>
          <w:tcPr>
            <w:tcW w:w="10500" w:type="dxa"/>
            <w:vAlign w:val="bottom"/>
            <w:gridSpan w:val="2"/>
          </w:tcPr>
          <w:p>
            <w:pPr>
              <w:spacing w:after="0"/>
              <w:rPr>
                <w:sz w:val="20"/>
                <w:szCs w:val="20"/>
                <w:color w:val="auto"/>
              </w:rPr>
            </w:pPr>
            <w:r>
              <w:rPr>
                <w:rFonts w:ascii="Arial" w:cs="Arial" w:eastAsia="Arial" w:hAnsi="Arial"/>
                <w:sz w:val="22"/>
                <w:szCs w:val="22"/>
                <w:color w:val="auto"/>
              </w:rPr>
              <w:t>ARTICLE I - CORPORATE OFFICES</w:t>
            </w:r>
          </w:p>
        </w:tc>
        <w:tc>
          <w:tcPr>
            <w:tcW w:w="72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580"/>
        </w:trPr>
        <w:tc>
          <w:tcPr>
            <w:tcW w:w="1240" w:type="dxa"/>
            <w:vAlign w:val="bottom"/>
          </w:tcPr>
          <w:p>
            <w:pPr>
              <w:ind w:left="780"/>
              <w:spacing w:after="0"/>
              <w:rPr>
                <w:sz w:val="20"/>
                <w:szCs w:val="20"/>
                <w:color w:val="auto"/>
              </w:rPr>
            </w:pPr>
            <w:r>
              <w:rPr>
                <w:rFonts w:ascii="Arial" w:cs="Arial" w:eastAsia="Arial" w:hAnsi="Arial"/>
                <w:sz w:val="22"/>
                <w:szCs w:val="22"/>
                <w:color w:val="auto"/>
              </w:rPr>
              <w:t>1.1</w:t>
            </w:r>
          </w:p>
        </w:tc>
        <w:tc>
          <w:tcPr>
            <w:tcW w:w="9260" w:type="dxa"/>
            <w:vAlign w:val="bottom"/>
          </w:tcPr>
          <w:p>
            <w:pPr>
              <w:ind w:left="80"/>
              <w:spacing w:after="0"/>
              <w:rPr>
                <w:sz w:val="20"/>
                <w:szCs w:val="20"/>
                <w:color w:val="auto"/>
              </w:rPr>
            </w:pPr>
            <w:r>
              <w:rPr>
                <w:rFonts w:ascii="Arial" w:cs="Arial" w:eastAsia="Arial" w:hAnsi="Arial"/>
                <w:sz w:val="22"/>
                <w:szCs w:val="22"/>
                <w:color w:val="auto"/>
              </w:rPr>
              <w:t>REGISTERED OFFICE</w:t>
            </w:r>
          </w:p>
        </w:tc>
        <w:tc>
          <w:tcPr>
            <w:tcW w:w="72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11"/>
        </w:trPr>
        <w:tc>
          <w:tcPr>
            <w:tcW w:w="1240" w:type="dxa"/>
            <w:vAlign w:val="bottom"/>
          </w:tcPr>
          <w:p>
            <w:pPr>
              <w:ind w:left="780"/>
              <w:spacing w:after="0"/>
              <w:rPr>
                <w:sz w:val="20"/>
                <w:szCs w:val="20"/>
                <w:color w:val="auto"/>
              </w:rPr>
            </w:pPr>
            <w:r>
              <w:rPr>
                <w:rFonts w:ascii="Arial" w:cs="Arial" w:eastAsia="Arial" w:hAnsi="Arial"/>
                <w:sz w:val="22"/>
                <w:szCs w:val="22"/>
                <w:color w:val="auto"/>
              </w:rPr>
              <w:t>1.2</w:t>
            </w:r>
          </w:p>
        </w:tc>
        <w:tc>
          <w:tcPr>
            <w:tcW w:w="9260" w:type="dxa"/>
            <w:vAlign w:val="bottom"/>
          </w:tcPr>
          <w:p>
            <w:pPr>
              <w:ind w:left="80"/>
              <w:spacing w:after="0"/>
              <w:rPr>
                <w:sz w:val="20"/>
                <w:szCs w:val="20"/>
                <w:color w:val="auto"/>
              </w:rPr>
            </w:pPr>
            <w:r>
              <w:rPr>
                <w:rFonts w:ascii="Arial" w:cs="Arial" w:eastAsia="Arial" w:hAnsi="Arial"/>
                <w:sz w:val="22"/>
                <w:szCs w:val="22"/>
                <w:color w:val="auto"/>
              </w:rPr>
              <w:t>OTHER OFFICES</w:t>
            </w:r>
          </w:p>
        </w:tc>
        <w:tc>
          <w:tcPr>
            <w:tcW w:w="72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581"/>
        </w:trPr>
        <w:tc>
          <w:tcPr>
            <w:tcW w:w="10500" w:type="dxa"/>
            <w:vAlign w:val="bottom"/>
            <w:gridSpan w:val="2"/>
          </w:tcPr>
          <w:p>
            <w:pPr>
              <w:spacing w:after="0"/>
              <w:rPr>
                <w:sz w:val="20"/>
                <w:szCs w:val="20"/>
                <w:color w:val="auto"/>
              </w:rPr>
            </w:pPr>
            <w:r>
              <w:rPr>
                <w:rFonts w:ascii="Arial" w:cs="Arial" w:eastAsia="Arial" w:hAnsi="Arial"/>
                <w:sz w:val="22"/>
                <w:szCs w:val="22"/>
                <w:color w:val="auto"/>
              </w:rPr>
              <w:t>ARTICLE II - MEETINGS OF STOCKHOLDERS</w:t>
            </w:r>
          </w:p>
        </w:tc>
        <w:tc>
          <w:tcPr>
            <w:tcW w:w="72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580"/>
        </w:trPr>
        <w:tc>
          <w:tcPr>
            <w:tcW w:w="1240" w:type="dxa"/>
            <w:vAlign w:val="bottom"/>
          </w:tcPr>
          <w:p>
            <w:pPr>
              <w:ind w:left="780"/>
              <w:spacing w:after="0"/>
              <w:rPr>
                <w:sz w:val="20"/>
                <w:szCs w:val="20"/>
                <w:color w:val="auto"/>
              </w:rPr>
            </w:pPr>
            <w:r>
              <w:rPr>
                <w:rFonts w:ascii="Arial" w:cs="Arial" w:eastAsia="Arial" w:hAnsi="Arial"/>
                <w:sz w:val="22"/>
                <w:szCs w:val="22"/>
                <w:color w:val="auto"/>
              </w:rPr>
              <w:t>2.1</w:t>
            </w:r>
          </w:p>
        </w:tc>
        <w:tc>
          <w:tcPr>
            <w:tcW w:w="9260" w:type="dxa"/>
            <w:vAlign w:val="bottom"/>
          </w:tcPr>
          <w:p>
            <w:pPr>
              <w:ind w:left="80"/>
              <w:spacing w:after="0"/>
              <w:rPr>
                <w:sz w:val="20"/>
                <w:szCs w:val="20"/>
                <w:color w:val="auto"/>
              </w:rPr>
            </w:pPr>
            <w:r>
              <w:rPr>
                <w:rFonts w:ascii="Arial" w:cs="Arial" w:eastAsia="Arial" w:hAnsi="Arial"/>
                <w:sz w:val="22"/>
                <w:szCs w:val="22"/>
                <w:color w:val="auto"/>
              </w:rPr>
              <w:t>PLACE OF MEETINGS</w:t>
            </w:r>
          </w:p>
        </w:tc>
        <w:tc>
          <w:tcPr>
            <w:tcW w:w="72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11"/>
        </w:trPr>
        <w:tc>
          <w:tcPr>
            <w:tcW w:w="1240" w:type="dxa"/>
            <w:vAlign w:val="bottom"/>
          </w:tcPr>
          <w:p>
            <w:pPr>
              <w:ind w:left="780"/>
              <w:spacing w:after="0"/>
              <w:rPr>
                <w:sz w:val="20"/>
                <w:szCs w:val="20"/>
                <w:color w:val="auto"/>
              </w:rPr>
            </w:pPr>
            <w:r>
              <w:rPr>
                <w:rFonts w:ascii="Arial" w:cs="Arial" w:eastAsia="Arial" w:hAnsi="Arial"/>
                <w:sz w:val="22"/>
                <w:szCs w:val="22"/>
                <w:color w:val="auto"/>
              </w:rPr>
              <w:t>2.2</w:t>
            </w:r>
          </w:p>
        </w:tc>
        <w:tc>
          <w:tcPr>
            <w:tcW w:w="9260" w:type="dxa"/>
            <w:vAlign w:val="bottom"/>
          </w:tcPr>
          <w:p>
            <w:pPr>
              <w:ind w:left="80"/>
              <w:spacing w:after="0"/>
              <w:rPr>
                <w:sz w:val="20"/>
                <w:szCs w:val="20"/>
                <w:color w:val="auto"/>
              </w:rPr>
            </w:pPr>
            <w:r>
              <w:rPr>
                <w:rFonts w:ascii="Arial" w:cs="Arial" w:eastAsia="Arial" w:hAnsi="Arial"/>
                <w:sz w:val="22"/>
                <w:szCs w:val="22"/>
                <w:color w:val="auto"/>
              </w:rPr>
              <w:t>ANNUAL MEETING</w:t>
            </w:r>
          </w:p>
        </w:tc>
        <w:tc>
          <w:tcPr>
            <w:tcW w:w="72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10"/>
        </w:trPr>
        <w:tc>
          <w:tcPr>
            <w:tcW w:w="1240" w:type="dxa"/>
            <w:vAlign w:val="bottom"/>
          </w:tcPr>
          <w:p>
            <w:pPr>
              <w:ind w:left="780"/>
              <w:spacing w:after="0"/>
              <w:rPr>
                <w:sz w:val="20"/>
                <w:szCs w:val="20"/>
                <w:color w:val="auto"/>
              </w:rPr>
            </w:pPr>
            <w:r>
              <w:rPr>
                <w:rFonts w:ascii="Arial" w:cs="Arial" w:eastAsia="Arial" w:hAnsi="Arial"/>
                <w:sz w:val="22"/>
                <w:szCs w:val="22"/>
                <w:color w:val="auto"/>
              </w:rPr>
              <w:t>2.3</w:t>
            </w:r>
          </w:p>
        </w:tc>
        <w:tc>
          <w:tcPr>
            <w:tcW w:w="9260" w:type="dxa"/>
            <w:vAlign w:val="bottom"/>
          </w:tcPr>
          <w:p>
            <w:pPr>
              <w:ind w:left="80"/>
              <w:spacing w:after="0"/>
              <w:rPr>
                <w:sz w:val="20"/>
                <w:szCs w:val="20"/>
                <w:color w:val="auto"/>
              </w:rPr>
            </w:pPr>
            <w:r>
              <w:rPr>
                <w:rFonts w:ascii="Arial" w:cs="Arial" w:eastAsia="Arial" w:hAnsi="Arial"/>
                <w:sz w:val="22"/>
                <w:szCs w:val="22"/>
                <w:color w:val="auto"/>
              </w:rPr>
              <w:t>SPECIAL MEETING</w:t>
            </w:r>
          </w:p>
        </w:tc>
        <w:tc>
          <w:tcPr>
            <w:tcW w:w="72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11"/>
        </w:trPr>
        <w:tc>
          <w:tcPr>
            <w:tcW w:w="1240" w:type="dxa"/>
            <w:vAlign w:val="bottom"/>
          </w:tcPr>
          <w:p>
            <w:pPr>
              <w:ind w:left="780"/>
              <w:spacing w:after="0"/>
              <w:rPr>
                <w:sz w:val="20"/>
                <w:szCs w:val="20"/>
                <w:color w:val="auto"/>
              </w:rPr>
            </w:pPr>
            <w:r>
              <w:rPr>
                <w:rFonts w:ascii="Arial" w:cs="Arial" w:eastAsia="Arial" w:hAnsi="Arial"/>
                <w:sz w:val="22"/>
                <w:szCs w:val="22"/>
                <w:color w:val="auto"/>
              </w:rPr>
              <w:t>2.4</w:t>
            </w:r>
          </w:p>
        </w:tc>
        <w:tc>
          <w:tcPr>
            <w:tcW w:w="9260" w:type="dxa"/>
            <w:vAlign w:val="bottom"/>
          </w:tcPr>
          <w:p>
            <w:pPr>
              <w:ind w:left="80"/>
              <w:spacing w:after="0"/>
              <w:rPr>
                <w:sz w:val="20"/>
                <w:szCs w:val="20"/>
                <w:color w:val="auto"/>
              </w:rPr>
            </w:pPr>
            <w:r>
              <w:rPr>
                <w:rFonts w:ascii="Arial" w:cs="Arial" w:eastAsia="Arial" w:hAnsi="Arial"/>
                <w:sz w:val="22"/>
                <w:szCs w:val="22"/>
                <w:color w:val="auto"/>
              </w:rPr>
              <w:t>ADVANCE NOTICE PROCEDURES FOR BUSINESS BROUGHT BEFORE A MEETING</w:t>
            </w:r>
          </w:p>
        </w:tc>
        <w:tc>
          <w:tcPr>
            <w:tcW w:w="72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10"/>
        </w:trPr>
        <w:tc>
          <w:tcPr>
            <w:tcW w:w="1240" w:type="dxa"/>
            <w:vAlign w:val="bottom"/>
          </w:tcPr>
          <w:p>
            <w:pPr>
              <w:ind w:left="780"/>
              <w:spacing w:after="0"/>
              <w:rPr>
                <w:sz w:val="20"/>
                <w:szCs w:val="20"/>
                <w:color w:val="auto"/>
              </w:rPr>
            </w:pPr>
            <w:r>
              <w:rPr>
                <w:rFonts w:ascii="Arial" w:cs="Arial" w:eastAsia="Arial" w:hAnsi="Arial"/>
                <w:sz w:val="22"/>
                <w:szCs w:val="22"/>
                <w:color w:val="auto"/>
              </w:rPr>
              <w:t>2.5</w:t>
            </w:r>
          </w:p>
        </w:tc>
        <w:tc>
          <w:tcPr>
            <w:tcW w:w="9260" w:type="dxa"/>
            <w:vAlign w:val="bottom"/>
          </w:tcPr>
          <w:p>
            <w:pPr>
              <w:ind w:left="80"/>
              <w:spacing w:after="0"/>
              <w:rPr>
                <w:sz w:val="20"/>
                <w:szCs w:val="20"/>
                <w:color w:val="auto"/>
              </w:rPr>
            </w:pPr>
            <w:r>
              <w:rPr>
                <w:rFonts w:ascii="Arial" w:cs="Arial" w:eastAsia="Arial" w:hAnsi="Arial"/>
                <w:sz w:val="22"/>
                <w:szCs w:val="22"/>
                <w:color w:val="auto"/>
              </w:rPr>
              <w:t>ADVANCE NOTICE PROCEDURES FOR NOMINATIONS OF DIRECTORS</w:t>
            </w:r>
          </w:p>
        </w:tc>
        <w:tc>
          <w:tcPr>
            <w:tcW w:w="72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311"/>
        </w:trPr>
        <w:tc>
          <w:tcPr>
            <w:tcW w:w="1240" w:type="dxa"/>
            <w:vAlign w:val="bottom"/>
          </w:tcPr>
          <w:p>
            <w:pPr>
              <w:ind w:left="780"/>
              <w:spacing w:after="0"/>
              <w:rPr>
                <w:sz w:val="20"/>
                <w:szCs w:val="20"/>
                <w:color w:val="auto"/>
              </w:rPr>
            </w:pPr>
            <w:r>
              <w:rPr>
                <w:rFonts w:ascii="Arial" w:cs="Arial" w:eastAsia="Arial" w:hAnsi="Arial"/>
                <w:sz w:val="22"/>
                <w:szCs w:val="22"/>
                <w:color w:val="auto"/>
              </w:rPr>
              <w:t>2.6</w:t>
            </w:r>
          </w:p>
        </w:tc>
        <w:tc>
          <w:tcPr>
            <w:tcW w:w="9260" w:type="dxa"/>
            <w:vAlign w:val="bottom"/>
          </w:tcPr>
          <w:p>
            <w:pPr>
              <w:ind w:left="80"/>
              <w:spacing w:after="0"/>
              <w:rPr>
                <w:sz w:val="20"/>
                <w:szCs w:val="20"/>
                <w:color w:val="auto"/>
              </w:rPr>
            </w:pPr>
            <w:r>
              <w:rPr>
                <w:rFonts w:ascii="Arial" w:cs="Arial" w:eastAsia="Arial" w:hAnsi="Arial"/>
                <w:sz w:val="22"/>
                <w:szCs w:val="22"/>
                <w:color w:val="auto"/>
              </w:rPr>
              <w:t>NOTICE OF STOCKHOLDERS' MEETINGS</w:t>
            </w:r>
          </w:p>
        </w:tc>
        <w:tc>
          <w:tcPr>
            <w:tcW w:w="72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311"/>
        </w:trPr>
        <w:tc>
          <w:tcPr>
            <w:tcW w:w="1240" w:type="dxa"/>
            <w:vAlign w:val="bottom"/>
          </w:tcPr>
          <w:p>
            <w:pPr>
              <w:ind w:left="780"/>
              <w:spacing w:after="0"/>
              <w:rPr>
                <w:sz w:val="20"/>
                <w:szCs w:val="20"/>
                <w:color w:val="auto"/>
              </w:rPr>
            </w:pPr>
            <w:r>
              <w:rPr>
                <w:rFonts w:ascii="Arial" w:cs="Arial" w:eastAsia="Arial" w:hAnsi="Arial"/>
                <w:sz w:val="22"/>
                <w:szCs w:val="22"/>
                <w:color w:val="auto"/>
              </w:rPr>
              <w:t>2.7</w:t>
            </w:r>
          </w:p>
        </w:tc>
        <w:tc>
          <w:tcPr>
            <w:tcW w:w="9260" w:type="dxa"/>
            <w:vAlign w:val="bottom"/>
          </w:tcPr>
          <w:p>
            <w:pPr>
              <w:ind w:left="80"/>
              <w:spacing w:after="0"/>
              <w:rPr>
                <w:sz w:val="20"/>
                <w:szCs w:val="20"/>
                <w:color w:val="auto"/>
              </w:rPr>
            </w:pPr>
            <w:r>
              <w:rPr>
                <w:rFonts w:ascii="Arial" w:cs="Arial" w:eastAsia="Arial" w:hAnsi="Arial"/>
                <w:sz w:val="22"/>
                <w:szCs w:val="22"/>
                <w:color w:val="auto"/>
              </w:rPr>
              <w:t>MANNER OF GIVING NOTICE; AFFIDAVIT OF NOTICE</w:t>
            </w:r>
          </w:p>
        </w:tc>
        <w:tc>
          <w:tcPr>
            <w:tcW w:w="72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310"/>
        </w:trPr>
        <w:tc>
          <w:tcPr>
            <w:tcW w:w="1240" w:type="dxa"/>
            <w:vAlign w:val="bottom"/>
          </w:tcPr>
          <w:p>
            <w:pPr>
              <w:ind w:left="780"/>
              <w:spacing w:after="0"/>
              <w:rPr>
                <w:sz w:val="20"/>
                <w:szCs w:val="20"/>
                <w:color w:val="auto"/>
              </w:rPr>
            </w:pPr>
            <w:r>
              <w:rPr>
                <w:rFonts w:ascii="Arial" w:cs="Arial" w:eastAsia="Arial" w:hAnsi="Arial"/>
                <w:sz w:val="22"/>
                <w:szCs w:val="22"/>
                <w:color w:val="auto"/>
              </w:rPr>
              <w:t>2.8</w:t>
            </w:r>
          </w:p>
        </w:tc>
        <w:tc>
          <w:tcPr>
            <w:tcW w:w="9260" w:type="dxa"/>
            <w:vAlign w:val="bottom"/>
          </w:tcPr>
          <w:p>
            <w:pPr>
              <w:ind w:left="80"/>
              <w:spacing w:after="0"/>
              <w:rPr>
                <w:sz w:val="20"/>
                <w:szCs w:val="20"/>
                <w:color w:val="auto"/>
              </w:rPr>
            </w:pPr>
            <w:r>
              <w:rPr>
                <w:rFonts w:ascii="Arial" w:cs="Arial" w:eastAsia="Arial" w:hAnsi="Arial"/>
                <w:sz w:val="22"/>
                <w:szCs w:val="22"/>
                <w:color w:val="auto"/>
              </w:rPr>
              <w:t>QUORUM</w:t>
            </w:r>
          </w:p>
        </w:tc>
        <w:tc>
          <w:tcPr>
            <w:tcW w:w="72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310"/>
        </w:trPr>
        <w:tc>
          <w:tcPr>
            <w:tcW w:w="1240" w:type="dxa"/>
            <w:vAlign w:val="bottom"/>
          </w:tcPr>
          <w:p>
            <w:pPr>
              <w:ind w:left="780"/>
              <w:spacing w:after="0"/>
              <w:rPr>
                <w:sz w:val="20"/>
                <w:szCs w:val="20"/>
                <w:color w:val="auto"/>
              </w:rPr>
            </w:pPr>
            <w:r>
              <w:rPr>
                <w:rFonts w:ascii="Arial" w:cs="Arial" w:eastAsia="Arial" w:hAnsi="Arial"/>
                <w:sz w:val="22"/>
                <w:szCs w:val="22"/>
                <w:color w:val="auto"/>
              </w:rPr>
              <w:t>2.9</w:t>
            </w:r>
          </w:p>
        </w:tc>
        <w:tc>
          <w:tcPr>
            <w:tcW w:w="9260" w:type="dxa"/>
            <w:vAlign w:val="bottom"/>
          </w:tcPr>
          <w:p>
            <w:pPr>
              <w:ind w:left="80"/>
              <w:spacing w:after="0"/>
              <w:rPr>
                <w:sz w:val="20"/>
                <w:szCs w:val="20"/>
                <w:color w:val="auto"/>
              </w:rPr>
            </w:pPr>
            <w:r>
              <w:rPr>
                <w:rFonts w:ascii="Arial" w:cs="Arial" w:eastAsia="Arial" w:hAnsi="Arial"/>
                <w:sz w:val="22"/>
                <w:szCs w:val="22"/>
                <w:color w:val="auto"/>
              </w:rPr>
              <w:t>ADJOURNED MEETING; NOTICE</w:t>
            </w:r>
          </w:p>
        </w:tc>
        <w:tc>
          <w:tcPr>
            <w:tcW w:w="72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310"/>
        </w:trPr>
        <w:tc>
          <w:tcPr>
            <w:tcW w:w="10500" w:type="dxa"/>
            <w:vAlign w:val="bottom"/>
            <w:gridSpan w:val="2"/>
          </w:tcPr>
          <w:p>
            <w:pPr>
              <w:ind w:left="780"/>
              <w:spacing w:after="0"/>
              <w:rPr>
                <w:sz w:val="20"/>
                <w:szCs w:val="20"/>
                <w:color w:val="auto"/>
              </w:rPr>
            </w:pPr>
            <w:r>
              <w:rPr>
                <w:rFonts w:ascii="Arial" w:cs="Arial" w:eastAsia="Arial" w:hAnsi="Arial"/>
                <w:sz w:val="22"/>
                <w:szCs w:val="22"/>
                <w:color w:val="auto"/>
              </w:rPr>
              <w:t>2.10   CONDUCT OF BUSINESS</w:t>
            </w:r>
          </w:p>
        </w:tc>
        <w:tc>
          <w:tcPr>
            <w:tcW w:w="72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311"/>
        </w:trPr>
        <w:tc>
          <w:tcPr>
            <w:tcW w:w="1240" w:type="dxa"/>
            <w:vAlign w:val="bottom"/>
          </w:tcPr>
          <w:p>
            <w:pPr>
              <w:ind w:left="780"/>
              <w:spacing w:after="0"/>
              <w:rPr>
                <w:sz w:val="20"/>
                <w:szCs w:val="20"/>
                <w:color w:val="auto"/>
              </w:rPr>
            </w:pPr>
            <w:r>
              <w:rPr>
                <w:rFonts w:ascii="Arial" w:cs="Arial" w:eastAsia="Arial" w:hAnsi="Arial"/>
                <w:sz w:val="22"/>
                <w:szCs w:val="22"/>
                <w:color w:val="auto"/>
              </w:rPr>
              <w:t>2.11</w:t>
            </w:r>
          </w:p>
        </w:tc>
        <w:tc>
          <w:tcPr>
            <w:tcW w:w="9260" w:type="dxa"/>
            <w:vAlign w:val="bottom"/>
          </w:tcPr>
          <w:p>
            <w:pPr>
              <w:ind w:left="180"/>
              <w:spacing w:after="0"/>
              <w:rPr>
                <w:sz w:val="20"/>
                <w:szCs w:val="20"/>
                <w:color w:val="auto"/>
              </w:rPr>
            </w:pPr>
            <w:r>
              <w:rPr>
                <w:rFonts w:ascii="Arial" w:cs="Arial" w:eastAsia="Arial" w:hAnsi="Arial"/>
                <w:sz w:val="22"/>
                <w:szCs w:val="22"/>
                <w:color w:val="auto"/>
              </w:rPr>
              <w:t>VOTING</w:t>
            </w:r>
          </w:p>
        </w:tc>
        <w:tc>
          <w:tcPr>
            <w:tcW w:w="72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310"/>
        </w:trPr>
        <w:tc>
          <w:tcPr>
            <w:tcW w:w="10500" w:type="dxa"/>
            <w:vAlign w:val="bottom"/>
            <w:gridSpan w:val="2"/>
          </w:tcPr>
          <w:p>
            <w:pPr>
              <w:ind w:left="780"/>
              <w:spacing w:after="0"/>
              <w:rPr>
                <w:sz w:val="20"/>
                <w:szCs w:val="20"/>
                <w:color w:val="auto"/>
              </w:rPr>
            </w:pPr>
            <w:r>
              <w:rPr>
                <w:rFonts w:ascii="Arial" w:cs="Arial" w:eastAsia="Arial" w:hAnsi="Arial"/>
                <w:sz w:val="22"/>
                <w:szCs w:val="22"/>
                <w:color w:val="auto"/>
              </w:rPr>
              <w:t>2.12   STOCKHOLDER ACTION BY WRITTEN CONSENT WITHOUT A MEETING</w:t>
            </w:r>
          </w:p>
        </w:tc>
        <w:tc>
          <w:tcPr>
            <w:tcW w:w="72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310"/>
        </w:trPr>
        <w:tc>
          <w:tcPr>
            <w:tcW w:w="10500" w:type="dxa"/>
            <w:vAlign w:val="bottom"/>
            <w:gridSpan w:val="2"/>
          </w:tcPr>
          <w:p>
            <w:pPr>
              <w:ind w:left="780"/>
              <w:spacing w:after="0"/>
              <w:rPr>
                <w:sz w:val="20"/>
                <w:szCs w:val="20"/>
                <w:color w:val="auto"/>
              </w:rPr>
            </w:pPr>
            <w:r>
              <w:rPr>
                <w:rFonts w:ascii="Arial" w:cs="Arial" w:eastAsia="Arial" w:hAnsi="Arial"/>
                <w:sz w:val="22"/>
                <w:szCs w:val="22"/>
                <w:color w:val="auto"/>
              </w:rPr>
              <w:t>2.13   RECORD DATE FOR STOCKHOLDER NOTICE; VOTING</w:t>
            </w:r>
          </w:p>
        </w:tc>
        <w:tc>
          <w:tcPr>
            <w:tcW w:w="72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310"/>
        </w:trPr>
        <w:tc>
          <w:tcPr>
            <w:tcW w:w="1240" w:type="dxa"/>
            <w:vAlign w:val="bottom"/>
          </w:tcPr>
          <w:p>
            <w:pPr>
              <w:ind w:left="780"/>
              <w:spacing w:after="0"/>
              <w:rPr>
                <w:sz w:val="20"/>
                <w:szCs w:val="20"/>
                <w:color w:val="auto"/>
              </w:rPr>
            </w:pPr>
            <w:r>
              <w:rPr>
                <w:rFonts w:ascii="Arial" w:cs="Arial" w:eastAsia="Arial" w:hAnsi="Arial"/>
                <w:sz w:val="22"/>
                <w:szCs w:val="22"/>
                <w:color w:val="auto"/>
              </w:rPr>
              <w:t>2.14</w:t>
            </w:r>
          </w:p>
        </w:tc>
        <w:tc>
          <w:tcPr>
            <w:tcW w:w="9260" w:type="dxa"/>
            <w:vAlign w:val="bottom"/>
          </w:tcPr>
          <w:p>
            <w:pPr>
              <w:ind w:left="200"/>
              <w:spacing w:after="0"/>
              <w:rPr>
                <w:sz w:val="20"/>
                <w:szCs w:val="20"/>
                <w:color w:val="auto"/>
              </w:rPr>
            </w:pPr>
            <w:r>
              <w:rPr>
                <w:rFonts w:ascii="Arial" w:cs="Arial" w:eastAsia="Arial" w:hAnsi="Arial"/>
                <w:sz w:val="22"/>
                <w:szCs w:val="22"/>
                <w:color w:val="auto"/>
              </w:rPr>
              <w:t>PROXIES</w:t>
            </w:r>
          </w:p>
        </w:tc>
        <w:tc>
          <w:tcPr>
            <w:tcW w:w="72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310"/>
        </w:trPr>
        <w:tc>
          <w:tcPr>
            <w:tcW w:w="10500" w:type="dxa"/>
            <w:vAlign w:val="bottom"/>
            <w:gridSpan w:val="2"/>
          </w:tcPr>
          <w:p>
            <w:pPr>
              <w:ind w:left="780"/>
              <w:spacing w:after="0"/>
              <w:rPr>
                <w:sz w:val="20"/>
                <w:szCs w:val="20"/>
                <w:color w:val="auto"/>
              </w:rPr>
            </w:pPr>
            <w:r>
              <w:rPr>
                <w:rFonts w:ascii="Arial" w:cs="Arial" w:eastAsia="Arial" w:hAnsi="Arial"/>
                <w:sz w:val="22"/>
                <w:szCs w:val="22"/>
                <w:color w:val="auto"/>
              </w:rPr>
              <w:t>2.15   LIST OF STOCKHOLDERS ENTITLED TO VOTE</w:t>
            </w:r>
          </w:p>
        </w:tc>
        <w:tc>
          <w:tcPr>
            <w:tcW w:w="72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310"/>
        </w:trPr>
        <w:tc>
          <w:tcPr>
            <w:tcW w:w="10500" w:type="dxa"/>
            <w:vAlign w:val="bottom"/>
            <w:gridSpan w:val="2"/>
          </w:tcPr>
          <w:p>
            <w:pPr>
              <w:ind w:left="780"/>
              <w:spacing w:after="0"/>
              <w:rPr>
                <w:sz w:val="20"/>
                <w:szCs w:val="20"/>
                <w:color w:val="auto"/>
              </w:rPr>
            </w:pPr>
            <w:r>
              <w:rPr>
                <w:rFonts w:ascii="Arial" w:cs="Arial" w:eastAsia="Arial" w:hAnsi="Arial"/>
                <w:sz w:val="22"/>
                <w:szCs w:val="22"/>
                <w:color w:val="auto"/>
              </w:rPr>
              <w:t>2.16   POSTPONEMENT, ADJOURNMENT AND CANCELLATION OF MEETING</w:t>
            </w:r>
          </w:p>
        </w:tc>
        <w:tc>
          <w:tcPr>
            <w:tcW w:w="72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10"/>
        </w:trPr>
        <w:tc>
          <w:tcPr>
            <w:tcW w:w="1240" w:type="dxa"/>
            <w:vAlign w:val="bottom"/>
          </w:tcPr>
          <w:p>
            <w:pPr>
              <w:ind w:left="780"/>
              <w:spacing w:after="0"/>
              <w:rPr>
                <w:sz w:val="20"/>
                <w:szCs w:val="20"/>
                <w:color w:val="auto"/>
              </w:rPr>
            </w:pPr>
            <w:r>
              <w:rPr>
                <w:rFonts w:ascii="Arial" w:cs="Arial" w:eastAsia="Arial" w:hAnsi="Arial"/>
                <w:sz w:val="22"/>
                <w:szCs w:val="22"/>
                <w:color w:val="auto"/>
              </w:rPr>
              <w:t>2.17</w:t>
            </w:r>
          </w:p>
        </w:tc>
        <w:tc>
          <w:tcPr>
            <w:tcW w:w="9260" w:type="dxa"/>
            <w:vAlign w:val="bottom"/>
          </w:tcPr>
          <w:p>
            <w:pPr>
              <w:ind w:left="200"/>
              <w:spacing w:after="0"/>
              <w:rPr>
                <w:sz w:val="20"/>
                <w:szCs w:val="20"/>
                <w:color w:val="auto"/>
              </w:rPr>
            </w:pPr>
            <w:r>
              <w:rPr>
                <w:rFonts w:ascii="Arial" w:cs="Arial" w:eastAsia="Arial" w:hAnsi="Arial"/>
                <w:sz w:val="22"/>
                <w:szCs w:val="22"/>
                <w:color w:val="auto"/>
              </w:rPr>
              <w:t>INSPECTORS OF ELECTION</w:t>
            </w:r>
          </w:p>
        </w:tc>
        <w:tc>
          <w:tcPr>
            <w:tcW w:w="72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11"/>
        </w:trPr>
        <w:tc>
          <w:tcPr>
            <w:tcW w:w="10500" w:type="dxa"/>
            <w:vAlign w:val="bottom"/>
            <w:gridSpan w:val="2"/>
          </w:tcPr>
          <w:p>
            <w:pPr>
              <w:ind w:left="780"/>
              <w:spacing w:after="0"/>
              <w:rPr>
                <w:sz w:val="20"/>
                <w:szCs w:val="20"/>
                <w:color w:val="auto"/>
              </w:rPr>
            </w:pPr>
            <w:r>
              <w:rPr>
                <w:rFonts w:ascii="Arial" w:cs="Arial" w:eastAsia="Arial" w:hAnsi="Arial"/>
                <w:sz w:val="22"/>
                <w:szCs w:val="22"/>
                <w:color w:val="auto"/>
              </w:rPr>
              <w:t>2.18   DELIVERY TO THE CORPORATION</w:t>
            </w:r>
          </w:p>
        </w:tc>
        <w:tc>
          <w:tcPr>
            <w:tcW w:w="72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580"/>
        </w:trPr>
        <w:tc>
          <w:tcPr>
            <w:tcW w:w="10500" w:type="dxa"/>
            <w:vAlign w:val="bottom"/>
            <w:gridSpan w:val="2"/>
          </w:tcPr>
          <w:p>
            <w:pPr>
              <w:spacing w:after="0"/>
              <w:rPr>
                <w:sz w:val="20"/>
                <w:szCs w:val="20"/>
                <w:color w:val="auto"/>
              </w:rPr>
            </w:pPr>
            <w:r>
              <w:rPr>
                <w:rFonts w:ascii="Arial" w:cs="Arial" w:eastAsia="Arial" w:hAnsi="Arial"/>
                <w:sz w:val="22"/>
                <w:szCs w:val="22"/>
                <w:color w:val="auto"/>
              </w:rPr>
              <w:t>ARTICLE III - DIRECTORS</w:t>
            </w:r>
          </w:p>
        </w:tc>
        <w:tc>
          <w:tcPr>
            <w:tcW w:w="72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580"/>
        </w:trPr>
        <w:tc>
          <w:tcPr>
            <w:tcW w:w="1240" w:type="dxa"/>
            <w:vAlign w:val="bottom"/>
          </w:tcPr>
          <w:p>
            <w:pPr>
              <w:ind w:left="780"/>
              <w:spacing w:after="0"/>
              <w:rPr>
                <w:sz w:val="20"/>
                <w:szCs w:val="20"/>
                <w:color w:val="auto"/>
              </w:rPr>
            </w:pPr>
            <w:r>
              <w:rPr>
                <w:rFonts w:ascii="Arial" w:cs="Arial" w:eastAsia="Arial" w:hAnsi="Arial"/>
                <w:sz w:val="22"/>
                <w:szCs w:val="22"/>
                <w:color w:val="auto"/>
              </w:rPr>
              <w:t>3.1</w:t>
            </w:r>
          </w:p>
        </w:tc>
        <w:tc>
          <w:tcPr>
            <w:tcW w:w="9260" w:type="dxa"/>
            <w:vAlign w:val="bottom"/>
          </w:tcPr>
          <w:p>
            <w:pPr>
              <w:ind w:left="80"/>
              <w:spacing w:after="0"/>
              <w:rPr>
                <w:sz w:val="20"/>
                <w:szCs w:val="20"/>
                <w:color w:val="auto"/>
              </w:rPr>
            </w:pPr>
            <w:r>
              <w:rPr>
                <w:rFonts w:ascii="Arial" w:cs="Arial" w:eastAsia="Arial" w:hAnsi="Arial"/>
                <w:sz w:val="22"/>
                <w:szCs w:val="22"/>
                <w:color w:val="auto"/>
              </w:rPr>
              <w:t>POWERS</w:t>
            </w:r>
          </w:p>
        </w:tc>
        <w:tc>
          <w:tcPr>
            <w:tcW w:w="72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10"/>
        </w:trPr>
        <w:tc>
          <w:tcPr>
            <w:tcW w:w="1240" w:type="dxa"/>
            <w:vAlign w:val="bottom"/>
          </w:tcPr>
          <w:p>
            <w:pPr>
              <w:ind w:left="780"/>
              <w:spacing w:after="0"/>
              <w:rPr>
                <w:sz w:val="20"/>
                <w:szCs w:val="20"/>
                <w:color w:val="auto"/>
              </w:rPr>
            </w:pPr>
            <w:r>
              <w:rPr>
                <w:rFonts w:ascii="Arial" w:cs="Arial" w:eastAsia="Arial" w:hAnsi="Arial"/>
                <w:sz w:val="22"/>
                <w:szCs w:val="22"/>
                <w:color w:val="auto"/>
              </w:rPr>
              <w:t>3.2</w:t>
            </w:r>
          </w:p>
        </w:tc>
        <w:tc>
          <w:tcPr>
            <w:tcW w:w="9260" w:type="dxa"/>
            <w:vAlign w:val="bottom"/>
          </w:tcPr>
          <w:p>
            <w:pPr>
              <w:ind w:left="80"/>
              <w:spacing w:after="0"/>
              <w:rPr>
                <w:sz w:val="20"/>
                <w:szCs w:val="20"/>
                <w:color w:val="auto"/>
              </w:rPr>
            </w:pPr>
            <w:r>
              <w:rPr>
                <w:rFonts w:ascii="Arial" w:cs="Arial" w:eastAsia="Arial" w:hAnsi="Arial"/>
                <w:sz w:val="22"/>
                <w:szCs w:val="22"/>
                <w:color w:val="auto"/>
              </w:rPr>
              <w:t>NUMBER OF DIRECTORS</w:t>
            </w:r>
          </w:p>
        </w:tc>
        <w:tc>
          <w:tcPr>
            <w:tcW w:w="72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10"/>
        </w:trPr>
        <w:tc>
          <w:tcPr>
            <w:tcW w:w="1240" w:type="dxa"/>
            <w:vAlign w:val="bottom"/>
          </w:tcPr>
          <w:p>
            <w:pPr>
              <w:ind w:left="780"/>
              <w:spacing w:after="0"/>
              <w:rPr>
                <w:sz w:val="20"/>
                <w:szCs w:val="20"/>
                <w:color w:val="auto"/>
              </w:rPr>
            </w:pPr>
            <w:r>
              <w:rPr>
                <w:rFonts w:ascii="Arial" w:cs="Arial" w:eastAsia="Arial" w:hAnsi="Arial"/>
                <w:sz w:val="22"/>
                <w:szCs w:val="22"/>
                <w:color w:val="auto"/>
              </w:rPr>
              <w:t>3.3</w:t>
            </w:r>
          </w:p>
        </w:tc>
        <w:tc>
          <w:tcPr>
            <w:tcW w:w="9260" w:type="dxa"/>
            <w:vAlign w:val="bottom"/>
          </w:tcPr>
          <w:p>
            <w:pPr>
              <w:ind w:left="80"/>
              <w:spacing w:after="0"/>
              <w:rPr>
                <w:sz w:val="20"/>
                <w:szCs w:val="20"/>
                <w:color w:val="auto"/>
              </w:rPr>
            </w:pPr>
            <w:r>
              <w:rPr>
                <w:rFonts w:ascii="Arial" w:cs="Arial" w:eastAsia="Arial" w:hAnsi="Arial"/>
                <w:sz w:val="22"/>
                <w:szCs w:val="22"/>
                <w:color w:val="auto"/>
              </w:rPr>
              <w:t>ELECTION, QUALIFICATION AND TERM OF OFFICE OF DIRECTORS</w:t>
            </w:r>
          </w:p>
        </w:tc>
        <w:tc>
          <w:tcPr>
            <w:tcW w:w="72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310"/>
        </w:trPr>
        <w:tc>
          <w:tcPr>
            <w:tcW w:w="1240" w:type="dxa"/>
            <w:vAlign w:val="bottom"/>
          </w:tcPr>
          <w:p>
            <w:pPr>
              <w:ind w:left="780"/>
              <w:spacing w:after="0"/>
              <w:rPr>
                <w:sz w:val="20"/>
                <w:szCs w:val="20"/>
                <w:color w:val="auto"/>
              </w:rPr>
            </w:pPr>
            <w:r>
              <w:rPr>
                <w:rFonts w:ascii="Arial" w:cs="Arial" w:eastAsia="Arial" w:hAnsi="Arial"/>
                <w:sz w:val="22"/>
                <w:szCs w:val="22"/>
                <w:color w:val="auto"/>
              </w:rPr>
              <w:t>3.4</w:t>
            </w:r>
          </w:p>
        </w:tc>
        <w:tc>
          <w:tcPr>
            <w:tcW w:w="9260" w:type="dxa"/>
            <w:vAlign w:val="bottom"/>
          </w:tcPr>
          <w:p>
            <w:pPr>
              <w:ind w:left="80"/>
              <w:spacing w:after="0"/>
              <w:rPr>
                <w:sz w:val="20"/>
                <w:szCs w:val="20"/>
                <w:color w:val="auto"/>
              </w:rPr>
            </w:pPr>
            <w:r>
              <w:rPr>
                <w:rFonts w:ascii="Arial" w:cs="Arial" w:eastAsia="Arial" w:hAnsi="Arial"/>
                <w:sz w:val="22"/>
                <w:szCs w:val="22"/>
                <w:color w:val="auto"/>
              </w:rPr>
              <w:t>RESIGNATION AND VACANCIES</w:t>
            </w:r>
          </w:p>
        </w:tc>
        <w:tc>
          <w:tcPr>
            <w:tcW w:w="72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311"/>
        </w:trPr>
        <w:tc>
          <w:tcPr>
            <w:tcW w:w="1240" w:type="dxa"/>
            <w:vAlign w:val="bottom"/>
          </w:tcPr>
          <w:p>
            <w:pPr>
              <w:ind w:left="780"/>
              <w:spacing w:after="0"/>
              <w:rPr>
                <w:sz w:val="20"/>
                <w:szCs w:val="20"/>
                <w:color w:val="auto"/>
              </w:rPr>
            </w:pPr>
            <w:r>
              <w:rPr>
                <w:rFonts w:ascii="Arial" w:cs="Arial" w:eastAsia="Arial" w:hAnsi="Arial"/>
                <w:sz w:val="22"/>
                <w:szCs w:val="22"/>
                <w:color w:val="auto"/>
              </w:rPr>
              <w:t>3.5</w:t>
            </w:r>
          </w:p>
        </w:tc>
        <w:tc>
          <w:tcPr>
            <w:tcW w:w="9260" w:type="dxa"/>
            <w:vAlign w:val="bottom"/>
          </w:tcPr>
          <w:p>
            <w:pPr>
              <w:ind w:left="80"/>
              <w:spacing w:after="0"/>
              <w:rPr>
                <w:sz w:val="20"/>
                <w:szCs w:val="20"/>
                <w:color w:val="auto"/>
              </w:rPr>
            </w:pPr>
            <w:r>
              <w:rPr>
                <w:rFonts w:ascii="Arial" w:cs="Arial" w:eastAsia="Arial" w:hAnsi="Arial"/>
                <w:sz w:val="22"/>
                <w:szCs w:val="22"/>
                <w:color w:val="auto"/>
              </w:rPr>
              <w:t>PLACE OF MEETINGS; MEETINGS BY TELEPHONE</w:t>
            </w:r>
          </w:p>
        </w:tc>
        <w:tc>
          <w:tcPr>
            <w:tcW w:w="72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310"/>
        </w:trPr>
        <w:tc>
          <w:tcPr>
            <w:tcW w:w="1240" w:type="dxa"/>
            <w:vAlign w:val="bottom"/>
          </w:tcPr>
          <w:p>
            <w:pPr>
              <w:ind w:left="780"/>
              <w:spacing w:after="0"/>
              <w:rPr>
                <w:sz w:val="20"/>
                <w:szCs w:val="20"/>
                <w:color w:val="auto"/>
              </w:rPr>
            </w:pPr>
            <w:r>
              <w:rPr>
                <w:rFonts w:ascii="Arial" w:cs="Arial" w:eastAsia="Arial" w:hAnsi="Arial"/>
                <w:sz w:val="22"/>
                <w:szCs w:val="22"/>
                <w:color w:val="auto"/>
              </w:rPr>
              <w:t>3.6</w:t>
            </w:r>
          </w:p>
        </w:tc>
        <w:tc>
          <w:tcPr>
            <w:tcW w:w="9260" w:type="dxa"/>
            <w:vAlign w:val="bottom"/>
          </w:tcPr>
          <w:p>
            <w:pPr>
              <w:ind w:left="80"/>
              <w:spacing w:after="0"/>
              <w:rPr>
                <w:sz w:val="20"/>
                <w:szCs w:val="20"/>
                <w:color w:val="auto"/>
              </w:rPr>
            </w:pPr>
            <w:r>
              <w:rPr>
                <w:rFonts w:ascii="Arial" w:cs="Arial" w:eastAsia="Arial" w:hAnsi="Arial"/>
                <w:sz w:val="22"/>
                <w:szCs w:val="22"/>
                <w:color w:val="auto"/>
              </w:rPr>
              <w:t>REGULAR MEETINGS</w:t>
            </w:r>
          </w:p>
        </w:tc>
        <w:tc>
          <w:tcPr>
            <w:tcW w:w="720" w:type="dxa"/>
            <w:vAlign w:val="bottom"/>
          </w:tcPr>
          <w:p>
            <w:pPr>
              <w:jc w:val="right"/>
              <w:spacing w:after="0"/>
              <w:rPr>
                <w:sz w:val="20"/>
                <w:szCs w:val="20"/>
                <w:color w:val="auto"/>
              </w:rPr>
            </w:pPr>
            <w:r>
              <w:rPr>
                <w:rFonts w:ascii="Arial" w:cs="Arial" w:eastAsia="Arial" w:hAnsi="Arial"/>
                <w:sz w:val="22"/>
                <w:szCs w:val="22"/>
                <w:color w:val="auto"/>
              </w:rPr>
              <w:t>17</w:t>
            </w:r>
          </w:p>
        </w:tc>
      </w:tr>
    </w:tbl>
    <w:p>
      <w:pPr>
        <w:spacing w:after="0" w:line="200" w:lineRule="exact"/>
        <w:rPr>
          <w:sz w:val="20"/>
          <w:szCs w:val="20"/>
          <w:color w:val="auto"/>
        </w:rPr>
      </w:pPr>
    </w:p>
    <w:p>
      <w:pPr>
        <w:sectPr>
          <w:pgSz w:w="11900" w:h="16838" w:orient="portrait"/>
          <w:cols w:equalWidth="0" w:num="1">
            <w:col w:w="11220"/>
          </w:cols>
          <w:pgMar w:left="34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220"/>
          </w:cols>
          <w:pgMar w:left="340" w:top="126" w:right="339" w:bottom="1440" w:gutter="0" w:footer="0" w:header="0"/>
          <w:type w:val="continuous"/>
        </w:sectPr>
      </w:pPr>
    </w:p>
    <w:bookmarkStart w:id="14" w:name="page15"/>
    <w:bookmarkEnd w:id="14"/>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240" w:type="dxa"/>
            <w:vAlign w:val="bottom"/>
          </w:tcPr>
          <w:p>
            <w:pPr>
              <w:ind w:left="780"/>
              <w:spacing w:after="0"/>
              <w:rPr>
                <w:sz w:val="20"/>
                <w:szCs w:val="20"/>
                <w:color w:val="auto"/>
              </w:rPr>
            </w:pPr>
            <w:r>
              <w:rPr>
                <w:rFonts w:ascii="Arial" w:cs="Arial" w:eastAsia="Arial" w:hAnsi="Arial"/>
                <w:sz w:val="22"/>
                <w:szCs w:val="22"/>
                <w:color w:val="auto"/>
              </w:rPr>
              <w:t>3.7</w:t>
            </w:r>
          </w:p>
        </w:tc>
        <w:tc>
          <w:tcPr>
            <w:tcW w:w="8080" w:type="dxa"/>
            <w:vAlign w:val="bottom"/>
          </w:tcPr>
          <w:p>
            <w:pPr>
              <w:ind w:left="80"/>
              <w:spacing w:after="0"/>
              <w:rPr>
                <w:sz w:val="20"/>
                <w:szCs w:val="20"/>
                <w:color w:val="auto"/>
              </w:rPr>
            </w:pPr>
            <w:r>
              <w:rPr>
                <w:rFonts w:ascii="Arial" w:cs="Arial" w:eastAsia="Arial" w:hAnsi="Arial"/>
                <w:sz w:val="22"/>
                <w:szCs w:val="22"/>
                <w:color w:val="auto"/>
              </w:rPr>
              <w:t>SPECIAL MEETINGS; NOTICE</w:t>
            </w:r>
          </w:p>
        </w:tc>
        <w:tc>
          <w:tcPr>
            <w:tcW w:w="188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11"/>
        </w:trPr>
        <w:tc>
          <w:tcPr>
            <w:tcW w:w="1240" w:type="dxa"/>
            <w:vAlign w:val="bottom"/>
          </w:tcPr>
          <w:p>
            <w:pPr>
              <w:ind w:left="780"/>
              <w:spacing w:after="0"/>
              <w:rPr>
                <w:sz w:val="20"/>
                <w:szCs w:val="20"/>
                <w:color w:val="auto"/>
              </w:rPr>
            </w:pPr>
            <w:r>
              <w:rPr>
                <w:rFonts w:ascii="Arial" w:cs="Arial" w:eastAsia="Arial" w:hAnsi="Arial"/>
                <w:sz w:val="22"/>
                <w:szCs w:val="22"/>
                <w:color w:val="auto"/>
              </w:rPr>
              <w:t>3.8</w:t>
            </w:r>
          </w:p>
        </w:tc>
        <w:tc>
          <w:tcPr>
            <w:tcW w:w="8080" w:type="dxa"/>
            <w:vAlign w:val="bottom"/>
          </w:tcPr>
          <w:p>
            <w:pPr>
              <w:ind w:left="80"/>
              <w:spacing w:after="0"/>
              <w:rPr>
                <w:sz w:val="20"/>
                <w:szCs w:val="20"/>
                <w:color w:val="auto"/>
              </w:rPr>
            </w:pPr>
            <w:r>
              <w:rPr>
                <w:rFonts w:ascii="Arial" w:cs="Arial" w:eastAsia="Arial" w:hAnsi="Arial"/>
                <w:sz w:val="22"/>
                <w:szCs w:val="22"/>
                <w:color w:val="auto"/>
              </w:rPr>
              <w:t>QUORUM</w:t>
            </w:r>
          </w:p>
        </w:tc>
        <w:tc>
          <w:tcPr>
            <w:tcW w:w="188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10"/>
        </w:trPr>
        <w:tc>
          <w:tcPr>
            <w:tcW w:w="1240" w:type="dxa"/>
            <w:vAlign w:val="bottom"/>
          </w:tcPr>
          <w:p>
            <w:pPr>
              <w:ind w:left="780"/>
              <w:spacing w:after="0"/>
              <w:rPr>
                <w:sz w:val="20"/>
                <w:szCs w:val="20"/>
                <w:color w:val="auto"/>
              </w:rPr>
            </w:pPr>
            <w:r>
              <w:rPr>
                <w:rFonts w:ascii="Arial" w:cs="Arial" w:eastAsia="Arial" w:hAnsi="Arial"/>
                <w:sz w:val="22"/>
                <w:szCs w:val="22"/>
                <w:color w:val="auto"/>
              </w:rPr>
              <w:t>3.9</w:t>
            </w:r>
          </w:p>
        </w:tc>
        <w:tc>
          <w:tcPr>
            <w:tcW w:w="8080" w:type="dxa"/>
            <w:vAlign w:val="bottom"/>
          </w:tcPr>
          <w:p>
            <w:pPr>
              <w:ind w:left="80"/>
              <w:spacing w:after="0"/>
              <w:rPr>
                <w:sz w:val="20"/>
                <w:szCs w:val="20"/>
                <w:color w:val="auto"/>
              </w:rPr>
            </w:pPr>
            <w:r>
              <w:rPr>
                <w:rFonts w:ascii="Arial" w:cs="Arial" w:eastAsia="Arial" w:hAnsi="Arial"/>
                <w:sz w:val="22"/>
                <w:szCs w:val="22"/>
                <w:color w:val="auto"/>
              </w:rPr>
              <w:t>BOARD ACTION BY CONSENT WITHOUT A MEETING</w:t>
            </w:r>
          </w:p>
        </w:tc>
        <w:tc>
          <w:tcPr>
            <w:tcW w:w="188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11"/>
        </w:trPr>
        <w:tc>
          <w:tcPr>
            <w:tcW w:w="1240" w:type="dxa"/>
            <w:vAlign w:val="bottom"/>
          </w:tcPr>
          <w:p>
            <w:pPr>
              <w:ind w:left="780"/>
              <w:spacing w:after="0"/>
              <w:rPr>
                <w:sz w:val="20"/>
                <w:szCs w:val="20"/>
                <w:color w:val="auto"/>
              </w:rPr>
            </w:pPr>
            <w:r>
              <w:rPr>
                <w:rFonts w:ascii="Arial" w:cs="Arial" w:eastAsia="Arial" w:hAnsi="Arial"/>
                <w:sz w:val="22"/>
                <w:szCs w:val="22"/>
                <w:color w:val="auto"/>
              </w:rPr>
              <w:t>3.10</w:t>
            </w:r>
          </w:p>
        </w:tc>
        <w:tc>
          <w:tcPr>
            <w:tcW w:w="8080" w:type="dxa"/>
            <w:vAlign w:val="bottom"/>
          </w:tcPr>
          <w:p>
            <w:pPr>
              <w:ind w:left="80"/>
              <w:spacing w:after="0"/>
              <w:rPr>
                <w:sz w:val="20"/>
                <w:szCs w:val="20"/>
                <w:color w:val="auto"/>
              </w:rPr>
            </w:pPr>
            <w:r>
              <w:rPr>
                <w:rFonts w:ascii="Arial" w:cs="Arial" w:eastAsia="Arial" w:hAnsi="Arial"/>
                <w:sz w:val="22"/>
                <w:szCs w:val="22"/>
                <w:color w:val="auto"/>
              </w:rPr>
              <w:t>FEES AND COMPENSATION OF DIRECTORS</w:t>
            </w:r>
          </w:p>
        </w:tc>
        <w:tc>
          <w:tcPr>
            <w:tcW w:w="188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311"/>
        </w:trPr>
        <w:tc>
          <w:tcPr>
            <w:tcW w:w="9320" w:type="dxa"/>
            <w:vAlign w:val="bottom"/>
            <w:gridSpan w:val="2"/>
          </w:tcPr>
          <w:p>
            <w:pPr>
              <w:ind w:left="780"/>
              <w:spacing w:after="0"/>
              <w:rPr>
                <w:sz w:val="20"/>
                <w:szCs w:val="20"/>
                <w:color w:val="auto"/>
              </w:rPr>
            </w:pPr>
            <w:r>
              <w:rPr>
                <w:rFonts w:ascii="Arial" w:cs="Arial" w:eastAsia="Arial" w:hAnsi="Arial"/>
                <w:sz w:val="22"/>
                <w:szCs w:val="22"/>
                <w:color w:val="auto"/>
              </w:rPr>
              <w:t>3.11  REMOVAL OF DIRECTORS</w:t>
            </w:r>
          </w:p>
        </w:tc>
        <w:tc>
          <w:tcPr>
            <w:tcW w:w="188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580"/>
        </w:trPr>
        <w:tc>
          <w:tcPr>
            <w:tcW w:w="9320" w:type="dxa"/>
            <w:vAlign w:val="bottom"/>
            <w:gridSpan w:val="2"/>
          </w:tcPr>
          <w:p>
            <w:pPr>
              <w:spacing w:after="0"/>
              <w:rPr>
                <w:sz w:val="20"/>
                <w:szCs w:val="20"/>
                <w:color w:val="auto"/>
              </w:rPr>
            </w:pPr>
            <w:r>
              <w:rPr>
                <w:rFonts w:ascii="Arial" w:cs="Arial" w:eastAsia="Arial" w:hAnsi="Arial"/>
                <w:sz w:val="22"/>
                <w:szCs w:val="22"/>
                <w:color w:val="auto"/>
              </w:rPr>
              <w:t>ARTICLE IV - COMMITTEES</w:t>
            </w:r>
          </w:p>
        </w:tc>
        <w:tc>
          <w:tcPr>
            <w:tcW w:w="188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581"/>
        </w:trPr>
        <w:tc>
          <w:tcPr>
            <w:tcW w:w="1240" w:type="dxa"/>
            <w:vAlign w:val="bottom"/>
          </w:tcPr>
          <w:p>
            <w:pPr>
              <w:ind w:left="780"/>
              <w:spacing w:after="0"/>
              <w:rPr>
                <w:sz w:val="20"/>
                <w:szCs w:val="20"/>
                <w:color w:val="auto"/>
              </w:rPr>
            </w:pPr>
            <w:r>
              <w:rPr>
                <w:rFonts w:ascii="Arial" w:cs="Arial" w:eastAsia="Arial" w:hAnsi="Arial"/>
                <w:sz w:val="22"/>
                <w:szCs w:val="22"/>
                <w:color w:val="auto"/>
              </w:rPr>
              <w:t>4.1</w:t>
            </w:r>
          </w:p>
        </w:tc>
        <w:tc>
          <w:tcPr>
            <w:tcW w:w="8080" w:type="dxa"/>
            <w:vAlign w:val="bottom"/>
          </w:tcPr>
          <w:p>
            <w:pPr>
              <w:ind w:left="80"/>
              <w:spacing w:after="0"/>
              <w:rPr>
                <w:sz w:val="20"/>
                <w:szCs w:val="20"/>
                <w:color w:val="auto"/>
              </w:rPr>
            </w:pPr>
            <w:r>
              <w:rPr>
                <w:rFonts w:ascii="Arial" w:cs="Arial" w:eastAsia="Arial" w:hAnsi="Arial"/>
                <w:sz w:val="22"/>
                <w:szCs w:val="22"/>
                <w:color w:val="auto"/>
              </w:rPr>
              <w:t>COMMITTEES OF DIRECTORS</w:t>
            </w:r>
          </w:p>
        </w:tc>
        <w:tc>
          <w:tcPr>
            <w:tcW w:w="188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310"/>
        </w:trPr>
        <w:tc>
          <w:tcPr>
            <w:tcW w:w="1240" w:type="dxa"/>
            <w:vAlign w:val="bottom"/>
          </w:tcPr>
          <w:p>
            <w:pPr>
              <w:ind w:left="780"/>
              <w:spacing w:after="0"/>
              <w:rPr>
                <w:sz w:val="20"/>
                <w:szCs w:val="20"/>
                <w:color w:val="auto"/>
              </w:rPr>
            </w:pPr>
            <w:r>
              <w:rPr>
                <w:rFonts w:ascii="Arial" w:cs="Arial" w:eastAsia="Arial" w:hAnsi="Arial"/>
                <w:sz w:val="22"/>
                <w:szCs w:val="22"/>
                <w:color w:val="auto"/>
              </w:rPr>
              <w:t>4.2</w:t>
            </w:r>
          </w:p>
        </w:tc>
        <w:tc>
          <w:tcPr>
            <w:tcW w:w="8080" w:type="dxa"/>
            <w:vAlign w:val="bottom"/>
          </w:tcPr>
          <w:p>
            <w:pPr>
              <w:ind w:left="80"/>
              <w:spacing w:after="0"/>
              <w:rPr>
                <w:sz w:val="20"/>
                <w:szCs w:val="20"/>
                <w:color w:val="auto"/>
              </w:rPr>
            </w:pPr>
            <w:r>
              <w:rPr>
                <w:rFonts w:ascii="Arial" w:cs="Arial" w:eastAsia="Arial" w:hAnsi="Arial"/>
                <w:sz w:val="22"/>
                <w:szCs w:val="22"/>
                <w:color w:val="auto"/>
              </w:rPr>
              <w:t>COMMITTEE MINUTES</w:t>
            </w:r>
          </w:p>
        </w:tc>
        <w:tc>
          <w:tcPr>
            <w:tcW w:w="188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311"/>
        </w:trPr>
        <w:tc>
          <w:tcPr>
            <w:tcW w:w="1240" w:type="dxa"/>
            <w:vAlign w:val="bottom"/>
          </w:tcPr>
          <w:p>
            <w:pPr>
              <w:ind w:left="780"/>
              <w:spacing w:after="0"/>
              <w:rPr>
                <w:sz w:val="20"/>
                <w:szCs w:val="20"/>
                <w:color w:val="auto"/>
              </w:rPr>
            </w:pPr>
            <w:r>
              <w:rPr>
                <w:rFonts w:ascii="Arial" w:cs="Arial" w:eastAsia="Arial" w:hAnsi="Arial"/>
                <w:sz w:val="22"/>
                <w:szCs w:val="22"/>
                <w:color w:val="auto"/>
              </w:rPr>
              <w:t>4.3</w:t>
            </w:r>
          </w:p>
        </w:tc>
        <w:tc>
          <w:tcPr>
            <w:tcW w:w="8080" w:type="dxa"/>
            <w:vAlign w:val="bottom"/>
          </w:tcPr>
          <w:p>
            <w:pPr>
              <w:ind w:left="80"/>
              <w:spacing w:after="0"/>
              <w:rPr>
                <w:sz w:val="20"/>
                <w:szCs w:val="20"/>
                <w:color w:val="auto"/>
              </w:rPr>
            </w:pPr>
            <w:r>
              <w:rPr>
                <w:rFonts w:ascii="Arial" w:cs="Arial" w:eastAsia="Arial" w:hAnsi="Arial"/>
                <w:sz w:val="22"/>
                <w:szCs w:val="22"/>
                <w:color w:val="auto"/>
              </w:rPr>
              <w:t>MEETINGS AND ACTION OF COMMITTEES</w:t>
            </w:r>
          </w:p>
        </w:tc>
        <w:tc>
          <w:tcPr>
            <w:tcW w:w="188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580"/>
        </w:trPr>
        <w:tc>
          <w:tcPr>
            <w:tcW w:w="9320" w:type="dxa"/>
            <w:vAlign w:val="bottom"/>
            <w:gridSpan w:val="2"/>
          </w:tcPr>
          <w:p>
            <w:pPr>
              <w:spacing w:after="0"/>
              <w:rPr>
                <w:sz w:val="20"/>
                <w:szCs w:val="20"/>
                <w:color w:val="auto"/>
              </w:rPr>
            </w:pPr>
            <w:r>
              <w:rPr>
                <w:rFonts w:ascii="Arial" w:cs="Arial" w:eastAsia="Arial" w:hAnsi="Arial"/>
                <w:sz w:val="22"/>
                <w:szCs w:val="22"/>
                <w:color w:val="auto"/>
              </w:rPr>
              <w:t>ARTICLE V - OFFICERS</w:t>
            </w:r>
          </w:p>
        </w:tc>
        <w:tc>
          <w:tcPr>
            <w:tcW w:w="188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581"/>
        </w:trPr>
        <w:tc>
          <w:tcPr>
            <w:tcW w:w="1240" w:type="dxa"/>
            <w:vAlign w:val="bottom"/>
          </w:tcPr>
          <w:p>
            <w:pPr>
              <w:ind w:left="780"/>
              <w:spacing w:after="0"/>
              <w:rPr>
                <w:sz w:val="20"/>
                <w:szCs w:val="20"/>
                <w:color w:val="auto"/>
              </w:rPr>
            </w:pPr>
            <w:r>
              <w:rPr>
                <w:rFonts w:ascii="Arial" w:cs="Arial" w:eastAsia="Arial" w:hAnsi="Arial"/>
                <w:sz w:val="22"/>
                <w:szCs w:val="22"/>
                <w:color w:val="auto"/>
              </w:rPr>
              <w:t>5.1</w:t>
            </w:r>
          </w:p>
        </w:tc>
        <w:tc>
          <w:tcPr>
            <w:tcW w:w="8080" w:type="dxa"/>
            <w:vAlign w:val="bottom"/>
          </w:tcPr>
          <w:p>
            <w:pPr>
              <w:ind w:left="80"/>
              <w:spacing w:after="0"/>
              <w:rPr>
                <w:sz w:val="20"/>
                <w:szCs w:val="20"/>
                <w:color w:val="auto"/>
              </w:rPr>
            </w:pPr>
            <w:r>
              <w:rPr>
                <w:rFonts w:ascii="Arial" w:cs="Arial" w:eastAsia="Arial" w:hAnsi="Arial"/>
                <w:sz w:val="22"/>
                <w:szCs w:val="22"/>
                <w:color w:val="auto"/>
              </w:rPr>
              <w:t>OFFICERS</w:t>
            </w:r>
          </w:p>
        </w:tc>
        <w:tc>
          <w:tcPr>
            <w:tcW w:w="188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311"/>
        </w:trPr>
        <w:tc>
          <w:tcPr>
            <w:tcW w:w="1240" w:type="dxa"/>
            <w:vAlign w:val="bottom"/>
          </w:tcPr>
          <w:p>
            <w:pPr>
              <w:ind w:left="780"/>
              <w:spacing w:after="0"/>
              <w:rPr>
                <w:sz w:val="20"/>
                <w:szCs w:val="20"/>
                <w:color w:val="auto"/>
              </w:rPr>
            </w:pPr>
            <w:r>
              <w:rPr>
                <w:rFonts w:ascii="Arial" w:cs="Arial" w:eastAsia="Arial" w:hAnsi="Arial"/>
                <w:sz w:val="22"/>
                <w:szCs w:val="22"/>
                <w:color w:val="auto"/>
              </w:rPr>
              <w:t>5.2</w:t>
            </w:r>
          </w:p>
        </w:tc>
        <w:tc>
          <w:tcPr>
            <w:tcW w:w="8080" w:type="dxa"/>
            <w:vAlign w:val="bottom"/>
          </w:tcPr>
          <w:p>
            <w:pPr>
              <w:ind w:left="80"/>
              <w:spacing w:after="0"/>
              <w:rPr>
                <w:sz w:val="20"/>
                <w:szCs w:val="20"/>
                <w:color w:val="auto"/>
              </w:rPr>
            </w:pPr>
            <w:r>
              <w:rPr>
                <w:rFonts w:ascii="Arial" w:cs="Arial" w:eastAsia="Arial" w:hAnsi="Arial"/>
                <w:sz w:val="22"/>
                <w:szCs w:val="22"/>
                <w:color w:val="auto"/>
              </w:rPr>
              <w:t>APPOINTMENT OF OFFICERS; SUBORDINATE OFFICERS</w:t>
            </w:r>
          </w:p>
        </w:tc>
        <w:tc>
          <w:tcPr>
            <w:tcW w:w="188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310"/>
        </w:trPr>
        <w:tc>
          <w:tcPr>
            <w:tcW w:w="1240" w:type="dxa"/>
            <w:vAlign w:val="bottom"/>
          </w:tcPr>
          <w:p>
            <w:pPr>
              <w:ind w:left="780"/>
              <w:spacing w:after="0"/>
              <w:rPr>
                <w:sz w:val="20"/>
                <w:szCs w:val="20"/>
                <w:color w:val="auto"/>
              </w:rPr>
            </w:pPr>
            <w:r>
              <w:rPr>
                <w:rFonts w:ascii="Arial" w:cs="Arial" w:eastAsia="Arial" w:hAnsi="Arial"/>
                <w:sz w:val="22"/>
                <w:szCs w:val="22"/>
                <w:color w:val="auto"/>
              </w:rPr>
              <w:t>5.3</w:t>
            </w:r>
          </w:p>
        </w:tc>
        <w:tc>
          <w:tcPr>
            <w:tcW w:w="8080" w:type="dxa"/>
            <w:vAlign w:val="bottom"/>
          </w:tcPr>
          <w:p>
            <w:pPr>
              <w:ind w:left="80"/>
              <w:spacing w:after="0"/>
              <w:rPr>
                <w:sz w:val="20"/>
                <w:szCs w:val="20"/>
                <w:color w:val="auto"/>
              </w:rPr>
            </w:pPr>
            <w:r>
              <w:rPr>
                <w:rFonts w:ascii="Arial" w:cs="Arial" w:eastAsia="Arial" w:hAnsi="Arial"/>
                <w:sz w:val="22"/>
                <w:szCs w:val="22"/>
                <w:color w:val="auto"/>
              </w:rPr>
              <w:t>REMOVAL AND RESIGNATION OF OFFICERS</w:t>
            </w:r>
          </w:p>
        </w:tc>
        <w:tc>
          <w:tcPr>
            <w:tcW w:w="188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310"/>
        </w:trPr>
        <w:tc>
          <w:tcPr>
            <w:tcW w:w="1240" w:type="dxa"/>
            <w:vAlign w:val="bottom"/>
          </w:tcPr>
          <w:p>
            <w:pPr>
              <w:ind w:left="780"/>
              <w:spacing w:after="0"/>
              <w:rPr>
                <w:sz w:val="20"/>
                <w:szCs w:val="20"/>
                <w:color w:val="auto"/>
              </w:rPr>
            </w:pPr>
            <w:r>
              <w:rPr>
                <w:rFonts w:ascii="Arial" w:cs="Arial" w:eastAsia="Arial" w:hAnsi="Arial"/>
                <w:sz w:val="22"/>
                <w:szCs w:val="22"/>
                <w:color w:val="auto"/>
              </w:rPr>
              <w:t>5.4</w:t>
            </w:r>
          </w:p>
        </w:tc>
        <w:tc>
          <w:tcPr>
            <w:tcW w:w="8080" w:type="dxa"/>
            <w:vAlign w:val="bottom"/>
          </w:tcPr>
          <w:p>
            <w:pPr>
              <w:ind w:left="80"/>
              <w:spacing w:after="0"/>
              <w:rPr>
                <w:sz w:val="20"/>
                <w:szCs w:val="20"/>
                <w:color w:val="auto"/>
              </w:rPr>
            </w:pPr>
            <w:r>
              <w:rPr>
                <w:rFonts w:ascii="Arial" w:cs="Arial" w:eastAsia="Arial" w:hAnsi="Arial"/>
                <w:sz w:val="22"/>
                <w:szCs w:val="22"/>
                <w:color w:val="auto"/>
              </w:rPr>
              <w:t>VACANCIES IN OFFICES</w:t>
            </w:r>
          </w:p>
        </w:tc>
        <w:tc>
          <w:tcPr>
            <w:tcW w:w="188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310"/>
        </w:trPr>
        <w:tc>
          <w:tcPr>
            <w:tcW w:w="1240" w:type="dxa"/>
            <w:vAlign w:val="bottom"/>
          </w:tcPr>
          <w:p>
            <w:pPr>
              <w:ind w:left="780"/>
              <w:spacing w:after="0"/>
              <w:rPr>
                <w:sz w:val="20"/>
                <w:szCs w:val="20"/>
                <w:color w:val="auto"/>
              </w:rPr>
            </w:pPr>
            <w:r>
              <w:rPr>
                <w:rFonts w:ascii="Arial" w:cs="Arial" w:eastAsia="Arial" w:hAnsi="Arial"/>
                <w:sz w:val="22"/>
                <w:szCs w:val="22"/>
                <w:color w:val="auto"/>
              </w:rPr>
              <w:t>5.5</w:t>
            </w:r>
          </w:p>
        </w:tc>
        <w:tc>
          <w:tcPr>
            <w:tcW w:w="8080" w:type="dxa"/>
            <w:vAlign w:val="bottom"/>
          </w:tcPr>
          <w:p>
            <w:pPr>
              <w:ind w:left="80"/>
              <w:spacing w:after="0"/>
              <w:rPr>
                <w:sz w:val="20"/>
                <w:szCs w:val="20"/>
                <w:color w:val="auto"/>
              </w:rPr>
            </w:pPr>
            <w:r>
              <w:rPr>
                <w:rFonts w:ascii="Arial" w:cs="Arial" w:eastAsia="Arial" w:hAnsi="Arial"/>
                <w:sz w:val="22"/>
                <w:szCs w:val="22"/>
                <w:color w:val="auto"/>
              </w:rPr>
              <w:t>REPRESENTATION OF SHARES OF OTHER ENTITIES</w:t>
            </w:r>
          </w:p>
        </w:tc>
        <w:tc>
          <w:tcPr>
            <w:tcW w:w="188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311"/>
        </w:trPr>
        <w:tc>
          <w:tcPr>
            <w:tcW w:w="1240" w:type="dxa"/>
            <w:vAlign w:val="bottom"/>
          </w:tcPr>
          <w:p>
            <w:pPr>
              <w:ind w:left="780"/>
              <w:spacing w:after="0"/>
              <w:rPr>
                <w:sz w:val="20"/>
                <w:szCs w:val="20"/>
                <w:color w:val="auto"/>
              </w:rPr>
            </w:pPr>
            <w:r>
              <w:rPr>
                <w:rFonts w:ascii="Arial" w:cs="Arial" w:eastAsia="Arial" w:hAnsi="Arial"/>
                <w:sz w:val="22"/>
                <w:szCs w:val="22"/>
                <w:color w:val="auto"/>
              </w:rPr>
              <w:t>5.6</w:t>
            </w:r>
          </w:p>
        </w:tc>
        <w:tc>
          <w:tcPr>
            <w:tcW w:w="8080" w:type="dxa"/>
            <w:vAlign w:val="bottom"/>
          </w:tcPr>
          <w:p>
            <w:pPr>
              <w:ind w:left="80"/>
              <w:spacing w:after="0"/>
              <w:rPr>
                <w:sz w:val="20"/>
                <w:szCs w:val="20"/>
                <w:color w:val="auto"/>
              </w:rPr>
            </w:pPr>
            <w:r>
              <w:rPr>
                <w:rFonts w:ascii="Arial" w:cs="Arial" w:eastAsia="Arial" w:hAnsi="Arial"/>
                <w:sz w:val="22"/>
                <w:szCs w:val="22"/>
                <w:color w:val="auto"/>
              </w:rPr>
              <w:t>AUTHORITY AND DUTIES OF OFFICERS</w:t>
            </w:r>
          </w:p>
        </w:tc>
        <w:tc>
          <w:tcPr>
            <w:tcW w:w="188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580"/>
        </w:trPr>
        <w:tc>
          <w:tcPr>
            <w:tcW w:w="9320" w:type="dxa"/>
            <w:vAlign w:val="bottom"/>
            <w:gridSpan w:val="2"/>
          </w:tcPr>
          <w:p>
            <w:pPr>
              <w:spacing w:after="0"/>
              <w:rPr>
                <w:sz w:val="20"/>
                <w:szCs w:val="20"/>
                <w:color w:val="auto"/>
              </w:rPr>
            </w:pPr>
            <w:r>
              <w:rPr>
                <w:rFonts w:ascii="Arial" w:cs="Arial" w:eastAsia="Arial" w:hAnsi="Arial"/>
                <w:sz w:val="22"/>
                <w:szCs w:val="22"/>
                <w:color w:val="auto"/>
              </w:rPr>
              <w:t>ARTICLE VI - RECORDS AND REPORTS</w:t>
            </w:r>
          </w:p>
        </w:tc>
        <w:tc>
          <w:tcPr>
            <w:tcW w:w="188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580"/>
        </w:trPr>
        <w:tc>
          <w:tcPr>
            <w:tcW w:w="1240" w:type="dxa"/>
            <w:vAlign w:val="bottom"/>
          </w:tcPr>
          <w:p>
            <w:pPr>
              <w:ind w:left="780"/>
              <w:spacing w:after="0"/>
              <w:rPr>
                <w:sz w:val="20"/>
                <w:szCs w:val="20"/>
                <w:color w:val="auto"/>
              </w:rPr>
            </w:pPr>
            <w:r>
              <w:rPr>
                <w:rFonts w:ascii="Arial" w:cs="Arial" w:eastAsia="Arial" w:hAnsi="Arial"/>
                <w:sz w:val="22"/>
                <w:szCs w:val="22"/>
                <w:color w:val="auto"/>
              </w:rPr>
              <w:t>6.1</w:t>
            </w:r>
          </w:p>
        </w:tc>
        <w:tc>
          <w:tcPr>
            <w:tcW w:w="8080" w:type="dxa"/>
            <w:vAlign w:val="bottom"/>
          </w:tcPr>
          <w:p>
            <w:pPr>
              <w:ind w:left="80"/>
              <w:spacing w:after="0"/>
              <w:rPr>
                <w:sz w:val="20"/>
                <w:szCs w:val="20"/>
                <w:color w:val="auto"/>
              </w:rPr>
            </w:pPr>
            <w:r>
              <w:rPr>
                <w:rFonts w:ascii="Arial" w:cs="Arial" w:eastAsia="Arial" w:hAnsi="Arial"/>
                <w:sz w:val="22"/>
                <w:szCs w:val="22"/>
                <w:color w:val="auto"/>
              </w:rPr>
              <w:t>MAINTENANCE OF RECORDS</w:t>
            </w:r>
          </w:p>
        </w:tc>
        <w:tc>
          <w:tcPr>
            <w:tcW w:w="188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580"/>
        </w:trPr>
        <w:tc>
          <w:tcPr>
            <w:tcW w:w="9320" w:type="dxa"/>
            <w:vAlign w:val="bottom"/>
            <w:gridSpan w:val="2"/>
          </w:tcPr>
          <w:p>
            <w:pPr>
              <w:spacing w:after="0"/>
              <w:rPr>
                <w:sz w:val="20"/>
                <w:szCs w:val="20"/>
                <w:color w:val="auto"/>
              </w:rPr>
            </w:pPr>
            <w:r>
              <w:rPr>
                <w:rFonts w:ascii="Arial" w:cs="Arial" w:eastAsia="Arial" w:hAnsi="Arial"/>
                <w:sz w:val="22"/>
                <w:szCs w:val="22"/>
                <w:color w:val="auto"/>
              </w:rPr>
              <w:t>ARTICLE VII - GENERAL MATTERS</w:t>
            </w:r>
          </w:p>
        </w:tc>
        <w:tc>
          <w:tcPr>
            <w:tcW w:w="188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580"/>
        </w:trPr>
        <w:tc>
          <w:tcPr>
            <w:tcW w:w="1240" w:type="dxa"/>
            <w:vAlign w:val="bottom"/>
          </w:tcPr>
          <w:p>
            <w:pPr>
              <w:ind w:left="780"/>
              <w:spacing w:after="0"/>
              <w:rPr>
                <w:sz w:val="20"/>
                <w:szCs w:val="20"/>
                <w:color w:val="auto"/>
              </w:rPr>
            </w:pPr>
            <w:r>
              <w:rPr>
                <w:rFonts w:ascii="Arial" w:cs="Arial" w:eastAsia="Arial" w:hAnsi="Arial"/>
                <w:sz w:val="22"/>
                <w:szCs w:val="22"/>
                <w:color w:val="auto"/>
              </w:rPr>
              <w:t>7.1</w:t>
            </w:r>
          </w:p>
        </w:tc>
        <w:tc>
          <w:tcPr>
            <w:tcW w:w="8080" w:type="dxa"/>
            <w:vAlign w:val="bottom"/>
          </w:tcPr>
          <w:p>
            <w:pPr>
              <w:ind w:left="80"/>
              <w:spacing w:after="0"/>
              <w:rPr>
                <w:sz w:val="20"/>
                <w:szCs w:val="20"/>
                <w:color w:val="auto"/>
              </w:rPr>
            </w:pPr>
            <w:r>
              <w:rPr>
                <w:rFonts w:ascii="Arial" w:cs="Arial" w:eastAsia="Arial" w:hAnsi="Arial"/>
                <w:sz w:val="22"/>
                <w:szCs w:val="22"/>
                <w:color w:val="auto"/>
              </w:rPr>
              <w:t>EXECUTION OF CORPORATE CONTRACTS AND INSTRUMENTS</w:t>
            </w:r>
          </w:p>
        </w:tc>
        <w:tc>
          <w:tcPr>
            <w:tcW w:w="188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310"/>
        </w:trPr>
        <w:tc>
          <w:tcPr>
            <w:tcW w:w="1240" w:type="dxa"/>
            <w:vAlign w:val="bottom"/>
          </w:tcPr>
          <w:p>
            <w:pPr>
              <w:ind w:left="780"/>
              <w:spacing w:after="0"/>
              <w:rPr>
                <w:sz w:val="20"/>
                <w:szCs w:val="20"/>
                <w:color w:val="auto"/>
              </w:rPr>
            </w:pPr>
            <w:r>
              <w:rPr>
                <w:rFonts w:ascii="Arial" w:cs="Arial" w:eastAsia="Arial" w:hAnsi="Arial"/>
                <w:sz w:val="22"/>
                <w:szCs w:val="22"/>
                <w:color w:val="auto"/>
              </w:rPr>
              <w:t>7.2</w:t>
            </w:r>
          </w:p>
        </w:tc>
        <w:tc>
          <w:tcPr>
            <w:tcW w:w="8080" w:type="dxa"/>
            <w:vAlign w:val="bottom"/>
          </w:tcPr>
          <w:p>
            <w:pPr>
              <w:ind w:left="80"/>
              <w:spacing w:after="0"/>
              <w:rPr>
                <w:sz w:val="20"/>
                <w:szCs w:val="20"/>
                <w:color w:val="auto"/>
              </w:rPr>
            </w:pPr>
            <w:r>
              <w:rPr>
                <w:rFonts w:ascii="Arial" w:cs="Arial" w:eastAsia="Arial" w:hAnsi="Arial"/>
                <w:sz w:val="22"/>
                <w:szCs w:val="22"/>
                <w:color w:val="auto"/>
              </w:rPr>
              <w:t>STOCK CERTIFICATES; PARTLY PAID SHARES</w:t>
            </w:r>
          </w:p>
        </w:tc>
        <w:tc>
          <w:tcPr>
            <w:tcW w:w="188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310"/>
        </w:trPr>
        <w:tc>
          <w:tcPr>
            <w:tcW w:w="1240" w:type="dxa"/>
            <w:vAlign w:val="bottom"/>
          </w:tcPr>
          <w:p>
            <w:pPr>
              <w:ind w:left="780"/>
              <w:spacing w:after="0"/>
              <w:rPr>
                <w:sz w:val="20"/>
                <w:szCs w:val="20"/>
                <w:color w:val="auto"/>
              </w:rPr>
            </w:pPr>
            <w:r>
              <w:rPr>
                <w:rFonts w:ascii="Arial" w:cs="Arial" w:eastAsia="Arial" w:hAnsi="Arial"/>
                <w:sz w:val="22"/>
                <w:szCs w:val="22"/>
                <w:color w:val="auto"/>
              </w:rPr>
              <w:t>7.3</w:t>
            </w:r>
          </w:p>
        </w:tc>
        <w:tc>
          <w:tcPr>
            <w:tcW w:w="8080" w:type="dxa"/>
            <w:vAlign w:val="bottom"/>
          </w:tcPr>
          <w:p>
            <w:pPr>
              <w:ind w:left="80"/>
              <w:spacing w:after="0"/>
              <w:rPr>
                <w:sz w:val="20"/>
                <w:szCs w:val="20"/>
                <w:color w:val="auto"/>
              </w:rPr>
            </w:pPr>
            <w:r>
              <w:rPr>
                <w:rFonts w:ascii="Arial" w:cs="Arial" w:eastAsia="Arial" w:hAnsi="Arial"/>
                <w:sz w:val="22"/>
                <w:szCs w:val="22"/>
                <w:color w:val="auto"/>
              </w:rPr>
              <w:t>MULTIPLE CLASSES OR SERIES OF STOCK</w:t>
            </w:r>
          </w:p>
        </w:tc>
        <w:tc>
          <w:tcPr>
            <w:tcW w:w="188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310"/>
        </w:trPr>
        <w:tc>
          <w:tcPr>
            <w:tcW w:w="1240" w:type="dxa"/>
            <w:vAlign w:val="bottom"/>
          </w:tcPr>
          <w:p>
            <w:pPr>
              <w:ind w:left="780"/>
              <w:spacing w:after="0"/>
              <w:rPr>
                <w:sz w:val="20"/>
                <w:szCs w:val="20"/>
                <w:color w:val="auto"/>
              </w:rPr>
            </w:pPr>
            <w:r>
              <w:rPr>
                <w:rFonts w:ascii="Arial" w:cs="Arial" w:eastAsia="Arial" w:hAnsi="Arial"/>
                <w:sz w:val="22"/>
                <w:szCs w:val="22"/>
                <w:color w:val="auto"/>
              </w:rPr>
              <w:t>7.4</w:t>
            </w:r>
          </w:p>
        </w:tc>
        <w:tc>
          <w:tcPr>
            <w:tcW w:w="8080" w:type="dxa"/>
            <w:vAlign w:val="bottom"/>
          </w:tcPr>
          <w:p>
            <w:pPr>
              <w:ind w:left="80"/>
              <w:spacing w:after="0"/>
              <w:rPr>
                <w:sz w:val="20"/>
                <w:szCs w:val="20"/>
                <w:color w:val="auto"/>
              </w:rPr>
            </w:pPr>
            <w:r>
              <w:rPr>
                <w:rFonts w:ascii="Arial" w:cs="Arial" w:eastAsia="Arial" w:hAnsi="Arial"/>
                <w:sz w:val="22"/>
                <w:szCs w:val="22"/>
                <w:color w:val="auto"/>
              </w:rPr>
              <w:t>LOST CERTIFICATES</w:t>
            </w:r>
          </w:p>
        </w:tc>
        <w:tc>
          <w:tcPr>
            <w:tcW w:w="188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311"/>
        </w:trPr>
        <w:tc>
          <w:tcPr>
            <w:tcW w:w="1240" w:type="dxa"/>
            <w:vAlign w:val="bottom"/>
          </w:tcPr>
          <w:p>
            <w:pPr>
              <w:ind w:left="780"/>
              <w:spacing w:after="0"/>
              <w:rPr>
                <w:sz w:val="20"/>
                <w:szCs w:val="20"/>
                <w:color w:val="auto"/>
              </w:rPr>
            </w:pPr>
            <w:r>
              <w:rPr>
                <w:rFonts w:ascii="Arial" w:cs="Arial" w:eastAsia="Arial" w:hAnsi="Arial"/>
                <w:sz w:val="22"/>
                <w:szCs w:val="22"/>
                <w:color w:val="auto"/>
              </w:rPr>
              <w:t>7.5</w:t>
            </w:r>
          </w:p>
        </w:tc>
        <w:tc>
          <w:tcPr>
            <w:tcW w:w="8080" w:type="dxa"/>
            <w:vAlign w:val="bottom"/>
          </w:tcPr>
          <w:p>
            <w:pPr>
              <w:ind w:left="80"/>
              <w:spacing w:after="0"/>
              <w:rPr>
                <w:sz w:val="20"/>
                <w:szCs w:val="20"/>
                <w:color w:val="auto"/>
              </w:rPr>
            </w:pPr>
            <w:r>
              <w:rPr>
                <w:rFonts w:ascii="Arial" w:cs="Arial" w:eastAsia="Arial" w:hAnsi="Arial"/>
                <w:sz w:val="22"/>
                <w:szCs w:val="22"/>
                <w:color w:val="auto"/>
              </w:rPr>
              <w:t>CONSTRUCTION; DEFINITIONS</w:t>
            </w:r>
          </w:p>
        </w:tc>
        <w:tc>
          <w:tcPr>
            <w:tcW w:w="188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10"/>
        </w:trPr>
        <w:tc>
          <w:tcPr>
            <w:tcW w:w="1240" w:type="dxa"/>
            <w:vAlign w:val="bottom"/>
          </w:tcPr>
          <w:p>
            <w:pPr>
              <w:ind w:left="780"/>
              <w:spacing w:after="0"/>
              <w:rPr>
                <w:sz w:val="20"/>
                <w:szCs w:val="20"/>
                <w:color w:val="auto"/>
              </w:rPr>
            </w:pPr>
            <w:r>
              <w:rPr>
                <w:rFonts w:ascii="Arial" w:cs="Arial" w:eastAsia="Arial" w:hAnsi="Arial"/>
                <w:sz w:val="22"/>
                <w:szCs w:val="22"/>
                <w:color w:val="auto"/>
              </w:rPr>
              <w:t>7.6</w:t>
            </w:r>
          </w:p>
        </w:tc>
        <w:tc>
          <w:tcPr>
            <w:tcW w:w="8080" w:type="dxa"/>
            <w:vAlign w:val="bottom"/>
          </w:tcPr>
          <w:p>
            <w:pPr>
              <w:ind w:left="80"/>
              <w:spacing w:after="0"/>
              <w:rPr>
                <w:sz w:val="20"/>
                <w:szCs w:val="20"/>
                <w:color w:val="auto"/>
              </w:rPr>
            </w:pPr>
            <w:r>
              <w:rPr>
                <w:rFonts w:ascii="Arial" w:cs="Arial" w:eastAsia="Arial" w:hAnsi="Arial"/>
                <w:sz w:val="22"/>
                <w:szCs w:val="22"/>
                <w:color w:val="auto"/>
              </w:rPr>
              <w:t>DIVIDENDS</w:t>
            </w:r>
          </w:p>
        </w:tc>
        <w:tc>
          <w:tcPr>
            <w:tcW w:w="188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10"/>
        </w:trPr>
        <w:tc>
          <w:tcPr>
            <w:tcW w:w="1240" w:type="dxa"/>
            <w:vAlign w:val="bottom"/>
          </w:tcPr>
          <w:p>
            <w:pPr>
              <w:ind w:left="780"/>
              <w:spacing w:after="0"/>
              <w:rPr>
                <w:sz w:val="20"/>
                <w:szCs w:val="20"/>
                <w:color w:val="auto"/>
              </w:rPr>
            </w:pPr>
            <w:r>
              <w:rPr>
                <w:rFonts w:ascii="Arial" w:cs="Arial" w:eastAsia="Arial" w:hAnsi="Arial"/>
                <w:sz w:val="22"/>
                <w:szCs w:val="22"/>
                <w:color w:val="auto"/>
              </w:rPr>
              <w:t>7.7</w:t>
            </w:r>
          </w:p>
        </w:tc>
        <w:tc>
          <w:tcPr>
            <w:tcW w:w="8080" w:type="dxa"/>
            <w:vAlign w:val="bottom"/>
          </w:tcPr>
          <w:p>
            <w:pPr>
              <w:ind w:left="80"/>
              <w:spacing w:after="0"/>
              <w:rPr>
                <w:sz w:val="20"/>
                <w:szCs w:val="20"/>
                <w:color w:val="auto"/>
              </w:rPr>
            </w:pPr>
            <w:r>
              <w:rPr>
                <w:rFonts w:ascii="Arial" w:cs="Arial" w:eastAsia="Arial" w:hAnsi="Arial"/>
                <w:sz w:val="22"/>
                <w:szCs w:val="22"/>
                <w:color w:val="auto"/>
              </w:rPr>
              <w:t>FISCAL YEAR</w:t>
            </w:r>
          </w:p>
        </w:tc>
        <w:tc>
          <w:tcPr>
            <w:tcW w:w="188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10"/>
        </w:trPr>
        <w:tc>
          <w:tcPr>
            <w:tcW w:w="1240" w:type="dxa"/>
            <w:vAlign w:val="bottom"/>
          </w:tcPr>
          <w:p>
            <w:pPr>
              <w:ind w:left="780"/>
              <w:spacing w:after="0"/>
              <w:rPr>
                <w:sz w:val="20"/>
                <w:szCs w:val="20"/>
                <w:color w:val="auto"/>
              </w:rPr>
            </w:pPr>
            <w:r>
              <w:rPr>
                <w:rFonts w:ascii="Arial" w:cs="Arial" w:eastAsia="Arial" w:hAnsi="Arial"/>
                <w:sz w:val="22"/>
                <w:szCs w:val="22"/>
                <w:color w:val="auto"/>
              </w:rPr>
              <w:t>7.8</w:t>
            </w:r>
          </w:p>
        </w:tc>
        <w:tc>
          <w:tcPr>
            <w:tcW w:w="8080" w:type="dxa"/>
            <w:vAlign w:val="bottom"/>
          </w:tcPr>
          <w:p>
            <w:pPr>
              <w:ind w:left="80"/>
              <w:spacing w:after="0"/>
              <w:rPr>
                <w:sz w:val="20"/>
                <w:szCs w:val="20"/>
                <w:color w:val="auto"/>
              </w:rPr>
            </w:pPr>
            <w:r>
              <w:rPr>
                <w:rFonts w:ascii="Arial" w:cs="Arial" w:eastAsia="Arial" w:hAnsi="Arial"/>
                <w:sz w:val="22"/>
                <w:szCs w:val="22"/>
                <w:color w:val="auto"/>
              </w:rPr>
              <w:t>SEAL</w:t>
            </w:r>
          </w:p>
        </w:tc>
        <w:tc>
          <w:tcPr>
            <w:tcW w:w="188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10"/>
        </w:trPr>
        <w:tc>
          <w:tcPr>
            <w:tcW w:w="1240" w:type="dxa"/>
            <w:vAlign w:val="bottom"/>
          </w:tcPr>
          <w:p>
            <w:pPr>
              <w:ind w:left="780"/>
              <w:spacing w:after="0"/>
              <w:rPr>
                <w:sz w:val="20"/>
                <w:szCs w:val="20"/>
                <w:color w:val="auto"/>
              </w:rPr>
            </w:pPr>
            <w:r>
              <w:rPr>
                <w:rFonts w:ascii="Arial" w:cs="Arial" w:eastAsia="Arial" w:hAnsi="Arial"/>
                <w:sz w:val="22"/>
                <w:szCs w:val="22"/>
                <w:color w:val="auto"/>
              </w:rPr>
              <w:t>7.9</w:t>
            </w:r>
          </w:p>
        </w:tc>
        <w:tc>
          <w:tcPr>
            <w:tcW w:w="8080" w:type="dxa"/>
            <w:vAlign w:val="bottom"/>
          </w:tcPr>
          <w:p>
            <w:pPr>
              <w:ind w:left="80"/>
              <w:spacing w:after="0"/>
              <w:rPr>
                <w:sz w:val="20"/>
                <w:szCs w:val="20"/>
                <w:color w:val="auto"/>
              </w:rPr>
            </w:pPr>
            <w:r>
              <w:rPr>
                <w:rFonts w:ascii="Arial" w:cs="Arial" w:eastAsia="Arial" w:hAnsi="Arial"/>
                <w:sz w:val="22"/>
                <w:szCs w:val="22"/>
                <w:color w:val="auto"/>
              </w:rPr>
              <w:t>TRANSFER OF STOCK</w:t>
            </w:r>
          </w:p>
        </w:tc>
        <w:tc>
          <w:tcPr>
            <w:tcW w:w="188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11"/>
        </w:trPr>
        <w:tc>
          <w:tcPr>
            <w:tcW w:w="1240" w:type="dxa"/>
            <w:vAlign w:val="bottom"/>
          </w:tcPr>
          <w:p>
            <w:pPr>
              <w:ind w:left="780"/>
              <w:spacing w:after="0"/>
              <w:rPr>
                <w:sz w:val="20"/>
                <w:szCs w:val="20"/>
                <w:color w:val="auto"/>
              </w:rPr>
            </w:pPr>
            <w:r>
              <w:rPr>
                <w:rFonts w:ascii="Arial" w:cs="Arial" w:eastAsia="Arial" w:hAnsi="Arial"/>
                <w:sz w:val="22"/>
                <w:szCs w:val="22"/>
                <w:color w:val="auto"/>
              </w:rPr>
              <w:t>7.10</w:t>
            </w:r>
          </w:p>
        </w:tc>
        <w:tc>
          <w:tcPr>
            <w:tcW w:w="8080" w:type="dxa"/>
            <w:vAlign w:val="bottom"/>
          </w:tcPr>
          <w:p>
            <w:pPr>
              <w:ind w:left="80"/>
              <w:spacing w:after="0"/>
              <w:rPr>
                <w:sz w:val="20"/>
                <w:szCs w:val="20"/>
                <w:color w:val="auto"/>
              </w:rPr>
            </w:pPr>
            <w:r>
              <w:rPr>
                <w:rFonts w:ascii="Arial" w:cs="Arial" w:eastAsia="Arial" w:hAnsi="Arial"/>
                <w:sz w:val="22"/>
                <w:szCs w:val="22"/>
                <w:color w:val="auto"/>
              </w:rPr>
              <w:t>STOCK TRANSFER AGREEMENTS</w:t>
            </w:r>
          </w:p>
        </w:tc>
        <w:tc>
          <w:tcPr>
            <w:tcW w:w="188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10"/>
        </w:trPr>
        <w:tc>
          <w:tcPr>
            <w:tcW w:w="1240" w:type="dxa"/>
            <w:vAlign w:val="bottom"/>
          </w:tcPr>
          <w:p>
            <w:pPr>
              <w:ind w:left="780"/>
              <w:spacing w:after="0"/>
              <w:rPr>
                <w:sz w:val="20"/>
                <w:szCs w:val="20"/>
                <w:color w:val="auto"/>
              </w:rPr>
            </w:pPr>
            <w:r>
              <w:rPr>
                <w:rFonts w:ascii="Arial" w:cs="Arial" w:eastAsia="Arial" w:hAnsi="Arial"/>
                <w:sz w:val="22"/>
                <w:szCs w:val="22"/>
                <w:color w:val="auto"/>
              </w:rPr>
              <w:t>7.11</w:t>
            </w:r>
          </w:p>
        </w:tc>
        <w:tc>
          <w:tcPr>
            <w:tcW w:w="8080" w:type="dxa"/>
            <w:vAlign w:val="bottom"/>
          </w:tcPr>
          <w:p>
            <w:pPr>
              <w:ind w:left="80"/>
              <w:spacing w:after="0"/>
              <w:rPr>
                <w:sz w:val="20"/>
                <w:szCs w:val="20"/>
                <w:color w:val="auto"/>
              </w:rPr>
            </w:pPr>
            <w:r>
              <w:rPr>
                <w:rFonts w:ascii="Arial" w:cs="Arial" w:eastAsia="Arial" w:hAnsi="Arial"/>
                <w:sz w:val="22"/>
                <w:szCs w:val="22"/>
                <w:color w:val="auto"/>
              </w:rPr>
              <w:t>REGISTERED STOCKHOLDERS</w:t>
            </w:r>
          </w:p>
        </w:tc>
        <w:tc>
          <w:tcPr>
            <w:tcW w:w="188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310"/>
        </w:trPr>
        <w:tc>
          <w:tcPr>
            <w:tcW w:w="9320" w:type="dxa"/>
            <w:vAlign w:val="bottom"/>
            <w:gridSpan w:val="2"/>
          </w:tcPr>
          <w:p>
            <w:pPr>
              <w:ind w:left="780"/>
              <w:spacing w:after="0"/>
              <w:rPr>
                <w:sz w:val="20"/>
                <w:szCs w:val="20"/>
                <w:color w:val="auto"/>
              </w:rPr>
            </w:pPr>
            <w:r>
              <w:rPr>
                <w:rFonts w:ascii="Arial" w:cs="Arial" w:eastAsia="Arial" w:hAnsi="Arial"/>
                <w:sz w:val="22"/>
                <w:szCs w:val="22"/>
                <w:color w:val="auto"/>
              </w:rPr>
              <w:t>7.12  WAIVER OF NOTICE</w:t>
            </w:r>
          </w:p>
        </w:tc>
        <w:tc>
          <w:tcPr>
            <w:tcW w:w="1880" w:type="dxa"/>
            <w:vAlign w:val="bottom"/>
          </w:tcPr>
          <w:p>
            <w:pPr>
              <w:jc w:val="right"/>
              <w:spacing w:after="0"/>
              <w:rPr>
                <w:sz w:val="20"/>
                <w:szCs w:val="20"/>
                <w:color w:val="auto"/>
              </w:rPr>
            </w:pPr>
            <w:r>
              <w:rPr>
                <w:rFonts w:ascii="Arial" w:cs="Arial" w:eastAsia="Arial" w:hAnsi="Arial"/>
                <w:sz w:val="22"/>
                <w:szCs w:val="22"/>
                <w:color w:val="auto"/>
              </w:rPr>
              <w:t>24</w:t>
            </w:r>
          </w:p>
        </w:tc>
      </w:tr>
    </w:tbl>
    <w:p>
      <w:pPr>
        <w:spacing w:after="0" w:line="200" w:lineRule="exact"/>
        <w:rPr>
          <w:sz w:val="20"/>
          <w:szCs w:val="20"/>
          <w:color w:val="auto"/>
        </w:rPr>
      </w:pP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200"/>
          </w:cols>
          <w:pgMar w:left="340" w:top="1440" w:right="359" w:bottom="1440" w:gutter="0" w:footer="0" w:header="0"/>
          <w:type w:val="continuous"/>
        </w:sectPr>
      </w:pPr>
    </w:p>
    <w:bookmarkStart w:id="15" w:name="page16"/>
    <w:bookmarkEnd w:id="15"/>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0440" w:type="dxa"/>
            <w:vAlign w:val="bottom"/>
            <w:gridSpan w:val="2"/>
          </w:tcPr>
          <w:p>
            <w:pPr>
              <w:spacing w:after="0"/>
              <w:rPr>
                <w:sz w:val="20"/>
                <w:szCs w:val="20"/>
                <w:color w:val="auto"/>
              </w:rPr>
            </w:pPr>
            <w:r>
              <w:rPr>
                <w:rFonts w:ascii="Arial" w:cs="Arial" w:eastAsia="Arial" w:hAnsi="Arial"/>
                <w:sz w:val="22"/>
                <w:szCs w:val="22"/>
                <w:color w:val="auto"/>
              </w:rPr>
              <w:t>ARTICLE VIII - NOTICE BY ELECTRONIC TRANSMISSION</w:t>
            </w:r>
          </w:p>
        </w:tc>
        <w:tc>
          <w:tcPr>
            <w:tcW w:w="76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581"/>
        </w:trPr>
        <w:tc>
          <w:tcPr>
            <w:tcW w:w="1240" w:type="dxa"/>
            <w:vAlign w:val="bottom"/>
          </w:tcPr>
          <w:p>
            <w:pPr>
              <w:ind w:left="780"/>
              <w:spacing w:after="0"/>
              <w:rPr>
                <w:sz w:val="20"/>
                <w:szCs w:val="20"/>
                <w:color w:val="auto"/>
              </w:rPr>
            </w:pPr>
            <w:r>
              <w:rPr>
                <w:rFonts w:ascii="Arial" w:cs="Arial" w:eastAsia="Arial" w:hAnsi="Arial"/>
                <w:sz w:val="22"/>
                <w:szCs w:val="22"/>
                <w:color w:val="auto"/>
              </w:rPr>
              <w:t>8.1</w:t>
            </w:r>
          </w:p>
        </w:tc>
        <w:tc>
          <w:tcPr>
            <w:tcW w:w="9200" w:type="dxa"/>
            <w:vAlign w:val="bottom"/>
          </w:tcPr>
          <w:p>
            <w:pPr>
              <w:ind w:left="80"/>
              <w:spacing w:after="0"/>
              <w:rPr>
                <w:sz w:val="20"/>
                <w:szCs w:val="20"/>
                <w:color w:val="auto"/>
              </w:rPr>
            </w:pPr>
            <w:r>
              <w:rPr>
                <w:rFonts w:ascii="Arial" w:cs="Arial" w:eastAsia="Arial" w:hAnsi="Arial"/>
                <w:sz w:val="22"/>
                <w:szCs w:val="22"/>
                <w:color w:val="auto"/>
              </w:rPr>
              <w:t>NOTICE BY ELECTRONIC TRANSMISSION</w:t>
            </w:r>
          </w:p>
        </w:tc>
        <w:tc>
          <w:tcPr>
            <w:tcW w:w="76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93"/>
        </w:trPr>
        <w:tc>
          <w:tcPr>
            <w:tcW w:w="1240" w:type="dxa"/>
            <w:vAlign w:val="bottom"/>
          </w:tcPr>
          <w:p>
            <w:pPr>
              <w:ind w:left="780"/>
              <w:spacing w:after="0"/>
              <w:rPr>
                <w:sz w:val="20"/>
                <w:szCs w:val="20"/>
                <w:color w:val="auto"/>
              </w:rPr>
            </w:pPr>
            <w:r>
              <w:rPr>
                <w:rFonts w:ascii="Arial" w:cs="Arial" w:eastAsia="Arial" w:hAnsi="Arial"/>
                <w:sz w:val="22"/>
                <w:szCs w:val="22"/>
                <w:color w:val="auto"/>
              </w:rPr>
              <w:t>8.2</w:t>
            </w:r>
          </w:p>
        </w:tc>
        <w:tc>
          <w:tcPr>
            <w:tcW w:w="9200" w:type="dxa"/>
            <w:vAlign w:val="bottom"/>
          </w:tcPr>
          <w:p>
            <w:pPr>
              <w:ind w:left="80"/>
              <w:spacing w:after="0"/>
              <w:rPr>
                <w:sz w:val="20"/>
                <w:szCs w:val="20"/>
                <w:color w:val="auto"/>
              </w:rPr>
            </w:pPr>
            <w:r>
              <w:rPr>
                <w:rFonts w:ascii="Arial" w:cs="Arial" w:eastAsia="Arial" w:hAnsi="Arial"/>
                <w:sz w:val="22"/>
                <w:szCs w:val="22"/>
                <w:color w:val="auto"/>
              </w:rPr>
              <w:t>DEFINITION OF ELECTRONIC TRANSMISSION, ELECTRONIC MAIL AND ELECTRONIC</w:t>
            </w:r>
          </w:p>
        </w:tc>
        <w:tc>
          <w:tcPr>
            <w:tcW w:w="760" w:type="dxa"/>
            <w:vAlign w:val="bottom"/>
          </w:tcPr>
          <w:p>
            <w:pPr>
              <w:spacing w:after="0"/>
              <w:rPr>
                <w:sz w:val="24"/>
                <w:szCs w:val="24"/>
                <w:color w:val="auto"/>
              </w:rPr>
            </w:pPr>
          </w:p>
        </w:tc>
      </w:tr>
      <w:tr>
        <w:trPr>
          <w:trHeight w:val="274"/>
        </w:trPr>
        <w:tc>
          <w:tcPr>
            <w:tcW w:w="1240" w:type="dxa"/>
            <w:vAlign w:val="bottom"/>
          </w:tcPr>
          <w:p>
            <w:pPr>
              <w:spacing w:after="0"/>
              <w:rPr>
                <w:sz w:val="23"/>
                <w:szCs w:val="23"/>
                <w:color w:val="auto"/>
              </w:rPr>
            </w:pPr>
          </w:p>
        </w:tc>
        <w:tc>
          <w:tcPr>
            <w:tcW w:w="9200" w:type="dxa"/>
            <w:vAlign w:val="bottom"/>
          </w:tcPr>
          <w:p>
            <w:pPr>
              <w:ind w:left="120"/>
              <w:spacing w:after="0"/>
              <w:rPr>
                <w:sz w:val="20"/>
                <w:szCs w:val="20"/>
                <w:color w:val="auto"/>
              </w:rPr>
            </w:pPr>
            <w:r>
              <w:rPr>
                <w:rFonts w:ascii="Arial" w:cs="Arial" w:eastAsia="Arial" w:hAnsi="Arial"/>
                <w:sz w:val="22"/>
                <w:szCs w:val="22"/>
                <w:color w:val="auto"/>
              </w:rPr>
              <w:t>MAIL ADDRESS</w:t>
            </w:r>
          </w:p>
        </w:tc>
        <w:tc>
          <w:tcPr>
            <w:tcW w:w="76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581"/>
        </w:trPr>
        <w:tc>
          <w:tcPr>
            <w:tcW w:w="10440" w:type="dxa"/>
            <w:vAlign w:val="bottom"/>
            <w:gridSpan w:val="2"/>
          </w:tcPr>
          <w:p>
            <w:pPr>
              <w:spacing w:after="0"/>
              <w:rPr>
                <w:sz w:val="20"/>
                <w:szCs w:val="20"/>
                <w:color w:val="auto"/>
              </w:rPr>
            </w:pPr>
            <w:r>
              <w:rPr>
                <w:rFonts w:ascii="Arial" w:cs="Arial" w:eastAsia="Arial" w:hAnsi="Arial"/>
                <w:sz w:val="22"/>
                <w:szCs w:val="22"/>
                <w:color w:val="auto"/>
              </w:rPr>
              <w:t>ARTICLE IX - INDEMNIFICATION AND ADVANCEMENT OF EXPENSES</w:t>
            </w:r>
          </w:p>
        </w:tc>
        <w:tc>
          <w:tcPr>
            <w:tcW w:w="76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580"/>
        </w:trPr>
        <w:tc>
          <w:tcPr>
            <w:tcW w:w="1240" w:type="dxa"/>
            <w:vAlign w:val="bottom"/>
          </w:tcPr>
          <w:p>
            <w:pPr>
              <w:ind w:left="780"/>
              <w:spacing w:after="0"/>
              <w:rPr>
                <w:sz w:val="20"/>
                <w:szCs w:val="20"/>
                <w:color w:val="auto"/>
              </w:rPr>
            </w:pPr>
            <w:r>
              <w:rPr>
                <w:rFonts w:ascii="Arial" w:cs="Arial" w:eastAsia="Arial" w:hAnsi="Arial"/>
                <w:sz w:val="22"/>
                <w:szCs w:val="22"/>
                <w:color w:val="auto"/>
              </w:rPr>
              <w:t>9.1</w:t>
            </w:r>
          </w:p>
        </w:tc>
        <w:tc>
          <w:tcPr>
            <w:tcW w:w="9200" w:type="dxa"/>
            <w:vAlign w:val="bottom"/>
          </w:tcPr>
          <w:p>
            <w:pPr>
              <w:ind w:left="80"/>
              <w:spacing w:after="0"/>
              <w:rPr>
                <w:sz w:val="20"/>
                <w:szCs w:val="20"/>
                <w:color w:val="auto"/>
              </w:rPr>
            </w:pPr>
            <w:r>
              <w:rPr>
                <w:rFonts w:ascii="Arial" w:cs="Arial" w:eastAsia="Arial" w:hAnsi="Arial"/>
                <w:sz w:val="22"/>
                <w:szCs w:val="22"/>
                <w:color w:val="auto"/>
              </w:rPr>
              <w:t>INDEMNIFICATION OF DIRECTORS AND OFFICERS</w:t>
            </w:r>
          </w:p>
        </w:tc>
        <w:tc>
          <w:tcPr>
            <w:tcW w:w="76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11"/>
        </w:trPr>
        <w:tc>
          <w:tcPr>
            <w:tcW w:w="1240" w:type="dxa"/>
            <w:vAlign w:val="bottom"/>
          </w:tcPr>
          <w:p>
            <w:pPr>
              <w:ind w:left="780"/>
              <w:spacing w:after="0"/>
              <w:rPr>
                <w:sz w:val="20"/>
                <w:szCs w:val="20"/>
                <w:color w:val="auto"/>
              </w:rPr>
            </w:pPr>
            <w:r>
              <w:rPr>
                <w:rFonts w:ascii="Arial" w:cs="Arial" w:eastAsia="Arial" w:hAnsi="Arial"/>
                <w:sz w:val="22"/>
                <w:szCs w:val="22"/>
                <w:color w:val="auto"/>
              </w:rPr>
              <w:t>9.2</w:t>
            </w:r>
          </w:p>
        </w:tc>
        <w:tc>
          <w:tcPr>
            <w:tcW w:w="9200" w:type="dxa"/>
            <w:vAlign w:val="bottom"/>
          </w:tcPr>
          <w:p>
            <w:pPr>
              <w:ind w:left="80"/>
              <w:spacing w:after="0"/>
              <w:rPr>
                <w:sz w:val="20"/>
                <w:szCs w:val="20"/>
                <w:color w:val="auto"/>
              </w:rPr>
            </w:pPr>
            <w:r>
              <w:rPr>
                <w:rFonts w:ascii="Arial" w:cs="Arial" w:eastAsia="Arial" w:hAnsi="Arial"/>
                <w:sz w:val="22"/>
                <w:szCs w:val="22"/>
                <w:color w:val="auto"/>
              </w:rPr>
              <w:t>INDEMNIFICATION OF OTHERS</w:t>
            </w:r>
          </w:p>
        </w:tc>
        <w:tc>
          <w:tcPr>
            <w:tcW w:w="76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11"/>
        </w:trPr>
        <w:tc>
          <w:tcPr>
            <w:tcW w:w="1240" w:type="dxa"/>
            <w:vAlign w:val="bottom"/>
          </w:tcPr>
          <w:p>
            <w:pPr>
              <w:ind w:left="780"/>
              <w:spacing w:after="0"/>
              <w:rPr>
                <w:sz w:val="20"/>
                <w:szCs w:val="20"/>
                <w:color w:val="auto"/>
              </w:rPr>
            </w:pPr>
            <w:r>
              <w:rPr>
                <w:rFonts w:ascii="Arial" w:cs="Arial" w:eastAsia="Arial" w:hAnsi="Arial"/>
                <w:sz w:val="22"/>
                <w:szCs w:val="22"/>
                <w:color w:val="auto"/>
              </w:rPr>
              <w:t>9.3</w:t>
            </w:r>
          </w:p>
        </w:tc>
        <w:tc>
          <w:tcPr>
            <w:tcW w:w="9200" w:type="dxa"/>
            <w:vAlign w:val="bottom"/>
          </w:tcPr>
          <w:p>
            <w:pPr>
              <w:ind w:left="80"/>
              <w:spacing w:after="0"/>
              <w:rPr>
                <w:sz w:val="20"/>
                <w:szCs w:val="20"/>
                <w:color w:val="auto"/>
              </w:rPr>
            </w:pPr>
            <w:r>
              <w:rPr>
                <w:rFonts w:ascii="Arial" w:cs="Arial" w:eastAsia="Arial" w:hAnsi="Arial"/>
                <w:sz w:val="22"/>
                <w:szCs w:val="22"/>
                <w:color w:val="auto"/>
              </w:rPr>
              <w:t>ADVANCEMENT OF EXPENSES</w:t>
            </w:r>
          </w:p>
        </w:tc>
        <w:tc>
          <w:tcPr>
            <w:tcW w:w="76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10"/>
        </w:trPr>
        <w:tc>
          <w:tcPr>
            <w:tcW w:w="1240" w:type="dxa"/>
            <w:vAlign w:val="bottom"/>
          </w:tcPr>
          <w:p>
            <w:pPr>
              <w:ind w:left="780"/>
              <w:spacing w:after="0"/>
              <w:rPr>
                <w:sz w:val="20"/>
                <w:szCs w:val="20"/>
                <w:color w:val="auto"/>
              </w:rPr>
            </w:pPr>
            <w:r>
              <w:rPr>
                <w:rFonts w:ascii="Arial" w:cs="Arial" w:eastAsia="Arial" w:hAnsi="Arial"/>
                <w:sz w:val="22"/>
                <w:szCs w:val="22"/>
                <w:color w:val="auto"/>
              </w:rPr>
              <w:t>9.4</w:t>
            </w:r>
          </w:p>
        </w:tc>
        <w:tc>
          <w:tcPr>
            <w:tcW w:w="9200" w:type="dxa"/>
            <w:vAlign w:val="bottom"/>
          </w:tcPr>
          <w:p>
            <w:pPr>
              <w:ind w:left="80"/>
              <w:spacing w:after="0"/>
              <w:rPr>
                <w:sz w:val="20"/>
                <w:szCs w:val="20"/>
                <w:color w:val="auto"/>
              </w:rPr>
            </w:pPr>
            <w:r>
              <w:rPr>
                <w:rFonts w:ascii="Arial" w:cs="Arial" w:eastAsia="Arial" w:hAnsi="Arial"/>
                <w:sz w:val="22"/>
                <w:szCs w:val="22"/>
                <w:color w:val="auto"/>
              </w:rPr>
              <w:t>DETERMINATION; CLAIM</w:t>
            </w:r>
          </w:p>
        </w:tc>
        <w:tc>
          <w:tcPr>
            <w:tcW w:w="76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311"/>
        </w:trPr>
        <w:tc>
          <w:tcPr>
            <w:tcW w:w="1240" w:type="dxa"/>
            <w:vAlign w:val="bottom"/>
          </w:tcPr>
          <w:p>
            <w:pPr>
              <w:ind w:left="780"/>
              <w:spacing w:after="0"/>
              <w:rPr>
                <w:sz w:val="20"/>
                <w:szCs w:val="20"/>
                <w:color w:val="auto"/>
              </w:rPr>
            </w:pPr>
            <w:r>
              <w:rPr>
                <w:rFonts w:ascii="Arial" w:cs="Arial" w:eastAsia="Arial" w:hAnsi="Arial"/>
                <w:sz w:val="22"/>
                <w:szCs w:val="22"/>
                <w:color w:val="auto"/>
              </w:rPr>
              <w:t>9.5</w:t>
            </w:r>
          </w:p>
        </w:tc>
        <w:tc>
          <w:tcPr>
            <w:tcW w:w="9200" w:type="dxa"/>
            <w:vAlign w:val="bottom"/>
          </w:tcPr>
          <w:p>
            <w:pPr>
              <w:ind w:left="80"/>
              <w:spacing w:after="0"/>
              <w:rPr>
                <w:sz w:val="20"/>
                <w:szCs w:val="20"/>
                <w:color w:val="auto"/>
              </w:rPr>
            </w:pPr>
            <w:r>
              <w:rPr>
                <w:rFonts w:ascii="Arial" w:cs="Arial" w:eastAsia="Arial" w:hAnsi="Arial"/>
                <w:sz w:val="22"/>
                <w:szCs w:val="22"/>
                <w:color w:val="auto"/>
              </w:rPr>
              <w:t>NON-EXCLUSIVITY OF RIGHTS</w:t>
            </w:r>
          </w:p>
        </w:tc>
        <w:tc>
          <w:tcPr>
            <w:tcW w:w="76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310"/>
        </w:trPr>
        <w:tc>
          <w:tcPr>
            <w:tcW w:w="1240" w:type="dxa"/>
            <w:vAlign w:val="bottom"/>
          </w:tcPr>
          <w:p>
            <w:pPr>
              <w:ind w:left="780"/>
              <w:spacing w:after="0"/>
              <w:rPr>
                <w:sz w:val="20"/>
                <w:szCs w:val="20"/>
                <w:color w:val="auto"/>
              </w:rPr>
            </w:pPr>
            <w:r>
              <w:rPr>
                <w:rFonts w:ascii="Arial" w:cs="Arial" w:eastAsia="Arial" w:hAnsi="Arial"/>
                <w:sz w:val="22"/>
                <w:szCs w:val="22"/>
                <w:color w:val="auto"/>
              </w:rPr>
              <w:t>9.6</w:t>
            </w:r>
          </w:p>
        </w:tc>
        <w:tc>
          <w:tcPr>
            <w:tcW w:w="9200" w:type="dxa"/>
            <w:vAlign w:val="bottom"/>
          </w:tcPr>
          <w:p>
            <w:pPr>
              <w:ind w:left="80"/>
              <w:spacing w:after="0"/>
              <w:rPr>
                <w:sz w:val="20"/>
                <w:szCs w:val="20"/>
                <w:color w:val="auto"/>
              </w:rPr>
            </w:pPr>
            <w:r>
              <w:rPr>
                <w:rFonts w:ascii="Arial" w:cs="Arial" w:eastAsia="Arial" w:hAnsi="Arial"/>
                <w:sz w:val="22"/>
                <w:szCs w:val="22"/>
                <w:color w:val="auto"/>
              </w:rPr>
              <w:t>INSURANCE</w:t>
            </w:r>
          </w:p>
        </w:tc>
        <w:tc>
          <w:tcPr>
            <w:tcW w:w="76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311"/>
        </w:trPr>
        <w:tc>
          <w:tcPr>
            <w:tcW w:w="1240" w:type="dxa"/>
            <w:vAlign w:val="bottom"/>
          </w:tcPr>
          <w:p>
            <w:pPr>
              <w:ind w:left="780"/>
              <w:spacing w:after="0"/>
              <w:rPr>
                <w:sz w:val="20"/>
                <w:szCs w:val="20"/>
                <w:color w:val="auto"/>
              </w:rPr>
            </w:pPr>
            <w:r>
              <w:rPr>
                <w:rFonts w:ascii="Arial" w:cs="Arial" w:eastAsia="Arial" w:hAnsi="Arial"/>
                <w:sz w:val="22"/>
                <w:szCs w:val="22"/>
                <w:color w:val="auto"/>
              </w:rPr>
              <w:t>9.7</w:t>
            </w:r>
          </w:p>
        </w:tc>
        <w:tc>
          <w:tcPr>
            <w:tcW w:w="9200" w:type="dxa"/>
            <w:vAlign w:val="bottom"/>
          </w:tcPr>
          <w:p>
            <w:pPr>
              <w:ind w:left="80"/>
              <w:spacing w:after="0"/>
              <w:rPr>
                <w:sz w:val="20"/>
                <w:szCs w:val="20"/>
                <w:color w:val="auto"/>
              </w:rPr>
            </w:pPr>
            <w:r>
              <w:rPr>
                <w:rFonts w:ascii="Arial" w:cs="Arial" w:eastAsia="Arial" w:hAnsi="Arial"/>
                <w:sz w:val="22"/>
                <w:szCs w:val="22"/>
                <w:color w:val="auto"/>
              </w:rPr>
              <w:t>OTHER SOURCES</w:t>
            </w:r>
          </w:p>
        </w:tc>
        <w:tc>
          <w:tcPr>
            <w:tcW w:w="76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310"/>
        </w:trPr>
        <w:tc>
          <w:tcPr>
            <w:tcW w:w="1240" w:type="dxa"/>
            <w:vAlign w:val="bottom"/>
          </w:tcPr>
          <w:p>
            <w:pPr>
              <w:ind w:left="780"/>
              <w:spacing w:after="0"/>
              <w:rPr>
                <w:sz w:val="20"/>
                <w:szCs w:val="20"/>
                <w:color w:val="auto"/>
              </w:rPr>
            </w:pPr>
            <w:r>
              <w:rPr>
                <w:rFonts w:ascii="Arial" w:cs="Arial" w:eastAsia="Arial" w:hAnsi="Arial"/>
                <w:sz w:val="22"/>
                <w:szCs w:val="22"/>
                <w:color w:val="auto"/>
              </w:rPr>
              <w:t>9.8</w:t>
            </w:r>
          </w:p>
        </w:tc>
        <w:tc>
          <w:tcPr>
            <w:tcW w:w="9200" w:type="dxa"/>
            <w:vAlign w:val="bottom"/>
          </w:tcPr>
          <w:p>
            <w:pPr>
              <w:ind w:left="80"/>
              <w:spacing w:after="0"/>
              <w:rPr>
                <w:sz w:val="20"/>
                <w:szCs w:val="20"/>
                <w:color w:val="auto"/>
              </w:rPr>
            </w:pPr>
            <w:r>
              <w:rPr>
                <w:rFonts w:ascii="Arial" w:cs="Arial" w:eastAsia="Arial" w:hAnsi="Arial"/>
                <w:sz w:val="22"/>
                <w:szCs w:val="22"/>
                <w:color w:val="auto"/>
              </w:rPr>
              <w:t>CONTINUATION OF INDEMNIFICATION</w:t>
            </w:r>
          </w:p>
        </w:tc>
        <w:tc>
          <w:tcPr>
            <w:tcW w:w="76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311"/>
        </w:trPr>
        <w:tc>
          <w:tcPr>
            <w:tcW w:w="1240" w:type="dxa"/>
            <w:vAlign w:val="bottom"/>
          </w:tcPr>
          <w:p>
            <w:pPr>
              <w:ind w:left="780"/>
              <w:spacing w:after="0"/>
              <w:rPr>
                <w:sz w:val="20"/>
                <w:szCs w:val="20"/>
                <w:color w:val="auto"/>
              </w:rPr>
            </w:pPr>
            <w:r>
              <w:rPr>
                <w:rFonts w:ascii="Arial" w:cs="Arial" w:eastAsia="Arial" w:hAnsi="Arial"/>
                <w:sz w:val="22"/>
                <w:szCs w:val="22"/>
                <w:color w:val="auto"/>
              </w:rPr>
              <w:t>9.9</w:t>
            </w:r>
          </w:p>
        </w:tc>
        <w:tc>
          <w:tcPr>
            <w:tcW w:w="9200" w:type="dxa"/>
            <w:vAlign w:val="bottom"/>
          </w:tcPr>
          <w:p>
            <w:pPr>
              <w:ind w:left="80"/>
              <w:spacing w:after="0"/>
              <w:rPr>
                <w:sz w:val="20"/>
                <w:szCs w:val="20"/>
                <w:color w:val="auto"/>
              </w:rPr>
            </w:pPr>
            <w:r>
              <w:rPr>
                <w:rFonts w:ascii="Arial" w:cs="Arial" w:eastAsia="Arial" w:hAnsi="Arial"/>
                <w:sz w:val="22"/>
                <w:szCs w:val="22"/>
                <w:color w:val="auto"/>
              </w:rPr>
              <w:t>AMENDMENT OR REPEAL; INTERPRETATION</w:t>
            </w:r>
          </w:p>
        </w:tc>
        <w:tc>
          <w:tcPr>
            <w:tcW w:w="76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310"/>
        </w:trPr>
        <w:tc>
          <w:tcPr>
            <w:tcW w:w="1240" w:type="dxa"/>
            <w:vAlign w:val="bottom"/>
          </w:tcPr>
          <w:p>
            <w:pPr>
              <w:ind w:left="780"/>
              <w:spacing w:after="0"/>
              <w:rPr>
                <w:sz w:val="20"/>
                <w:szCs w:val="20"/>
                <w:color w:val="auto"/>
              </w:rPr>
            </w:pPr>
            <w:r>
              <w:rPr>
                <w:rFonts w:ascii="Arial" w:cs="Arial" w:eastAsia="Arial" w:hAnsi="Arial"/>
                <w:sz w:val="22"/>
                <w:szCs w:val="22"/>
                <w:color w:val="auto"/>
              </w:rPr>
              <w:t>9.10</w:t>
            </w:r>
          </w:p>
        </w:tc>
        <w:tc>
          <w:tcPr>
            <w:tcW w:w="9200" w:type="dxa"/>
            <w:vAlign w:val="bottom"/>
          </w:tcPr>
          <w:p>
            <w:pPr>
              <w:ind w:left="80"/>
              <w:spacing w:after="0"/>
              <w:rPr>
                <w:sz w:val="20"/>
                <w:szCs w:val="20"/>
                <w:color w:val="auto"/>
              </w:rPr>
            </w:pPr>
            <w:r>
              <w:rPr>
                <w:rFonts w:ascii="Arial" w:cs="Arial" w:eastAsia="Arial" w:hAnsi="Arial"/>
                <w:sz w:val="22"/>
                <w:szCs w:val="22"/>
                <w:color w:val="auto"/>
              </w:rPr>
              <w:t>OTHER INDEMNIFICATION AND ADVANCEMENT OF EXPENSES</w:t>
            </w:r>
          </w:p>
        </w:tc>
        <w:tc>
          <w:tcPr>
            <w:tcW w:w="76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580"/>
        </w:trPr>
        <w:tc>
          <w:tcPr>
            <w:tcW w:w="10440" w:type="dxa"/>
            <w:vAlign w:val="bottom"/>
            <w:gridSpan w:val="2"/>
          </w:tcPr>
          <w:p>
            <w:pPr>
              <w:spacing w:after="0"/>
              <w:rPr>
                <w:sz w:val="20"/>
                <w:szCs w:val="20"/>
                <w:color w:val="auto"/>
              </w:rPr>
            </w:pPr>
            <w:r>
              <w:rPr>
                <w:rFonts w:ascii="Arial" w:cs="Arial" w:eastAsia="Arial" w:hAnsi="Arial"/>
                <w:sz w:val="22"/>
                <w:szCs w:val="22"/>
                <w:color w:val="auto"/>
              </w:rPr>
              <w:t>ARTICLE X - AMENDMENTS</w:t>
            </w:r>
          </w:p>
        </w:tc>
        <w:tc>
          <w:tcPr>
            <w:tcW w:w="760" w:type="dxa"/>
            <w:vAlign w:val="bottom"/>
          </w:tcPr>
          <w:p>
            <w:pPr>
              <w:jc w:val="right"/>
              <w:spacing w:after="0"/>
              <w:rPr>
                <w:sz w:val="20"/>
                <w:szCs w:val="20"/>
                <w:color w:val="auto"/>
              </w:rPr>
            </w:pPr>
            <w:r>
              <w:rPr>
                <w:rFonts w:ascii="Arial" w:cs="Arial" w:eastAsia="Arial" w:hAnsi="Arial"/>
                <w:sz w:val="22"/>
                <w:szCs w:val="22"/>
                <w:color w:val="auto"/>
              </w:rPr>
              <w:t>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200"/>
          </w:cols>
          <w:pgMar w:left="340" w:top="1440" w:right="359" w:bottom="1440" w:gutter="0" w:footer="0" w:header="0"/>
        </w:sectPr>
      </w:pPr>
    </w:p>
    <w:bookmarkStart w:id="16" w:name="page17"/>
    <w:bookmarkEnd w:id="16"/>
    <w:p>
      <w:pPr>
        <w:ind w:left="4060"/>
        <w:spacing w:after="0"/>
        <w:rPr>
          <w:sz w:val="20"/>
          <w:szCs w:val="20"/>
          <w:color w:val="auto"/>
        </w:rPr>
      </w:pPr>
      <w:r>
        <w:rPr>
          <w:rFonts w:ascii="Arial" w:cs="Arial" w:eastAsia="Arial" w:hAnsi="Arial"/>
          <w:sz w:val="22"/>
          <w:szCs w:val="22"/>
          <w:b w:val="1"/>
          <w:bCs w:val="1"/>
          <w:color w:val="auto"/>
        </w:rPr>
        <w:t>AMENDED AND RESTATED BYLAWS</w:t>
      </w:r>
    </w:p>
    <w:p>
      <w:pPr>
        <w:spacing w:after="0" w:line="18" w:lineRule="exact"/>
        <w:rPr>
          <w:sz w:val="20"/>
          <w:szCs w:val="20"/>
          <w:color w:val="auto"/>
        </w:rPr>
      </w:pPr>
    </w:p>
    <w:p>
      <w:pPr>
        <w:ind w:left="5800"/>
        <w:spacing w:after="0"/>
        <w:rPr>
          <w:sz w:val="20"/>
          <w:szCs w:val="20"/>
          <w:color w:val="auto"/>
        </w:rPr>
      </w:pPr>
      <w:r>
        <w:rPr>
          <w:rFonts w:ascii="Arial" w:cs="Arial" w:eastAsia="Arial" w:hAnsi="Arial"/>
          <w:sz w:val="22"/>
          <w:szCs w:val="22"/>
          <w:b w:val="1"/>
          <w:bCs w:val="1"/>
          <w:color w:val="auto"/>
        </w:rPr>
        <w:t>OF</w:t>
      </w:r>
    </w:p>
    <w:p>
      <w:pPr>
        <w:ind w:left="5140"/>
        <w:spacing w:after="0"/>
        <w:rPr>
          <w:sz w:val="20"/>
          <w:szCs w:val="20"/>
          <w:color w:val="auto"/>
        </w:rPr>
      </w:pPr>
      <w:r>
        <w:rPr>
          <w:rFonts w:ascii="Arial" w:cs="Arial" w:eastAsia="Arial" w:hAnsi="Arial"/>
          <w:sz w:val="22"/>
          <w:szCs w:val="22"/>
          <w:b w:val="1"/>
          <w:bCs w:val="1"/>
          <w:color w:val="auto"/>
        </w:rPr>
        <w:t>KALTURA,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167005</wp:posOffset>
            </wp:positionV>
            <wp:extent cx="25374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3746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193040</wp:posOffset>
            </wp:positionV>
            <wp:extent cx="25374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ARTICLE I - CORPORATE OFFICES</w:t>
      </w:r>
    </w:p>
    <w:p>
      <w:pPr>
        <w:spacing w:after="0" w:line="226" w:lineRule="exact"/>
        <w:rPr>
          <w:sz w:val="20"/>
          <w:szCs w:val="20"/>
          <w:color w:val="auto"/>
        </w:rPr>
      </w:pPr>
    </w:p>
    <w:p>
      <w:pPr>
        <w:ind w:right="160" w:firstLine="648"/>
        <w:spacing w:after="0" w:line="271" w:lineRule="auto"/>
        <w:rPr>
          <w:sz w:val="20"/>
          <w:szCs w:val="20"/>
          <w:color w:val="auto"/>
        </w:rPr>
      </w:pPr>
      <w:r>
        <w:rPr>
          <w:rFonts w:ascii="Arial" w:cs="Arial" w:eastAsia="Arial" w:hAnsi="Arial"/>
          <w:sz w:val="21"/>
          <w:szCs w:val="21"/>
          <w:color w:val="auto"/>
        </w:rPr>
        <w:t>1.1 REGISTERED OFFICE The address of the registered office of Kaltura, Inc. (the “</w:t>
      </w:r>
      <w:r>
        <w:rPr>
          <w:rFonts w:ascii="Arial" w:cs="Arial" w:eastAsia="Arial" w:hAnsi="Arial"/>
          <w:sz w:val="21"/>
          <w:szCs w:val="21"/>
          <w:u w:val="single" w:color="auto"/>
          <w:color w:val="auto"/>
        </w:rPr>
        <w:t>Corporation</w:t>
      </w:r>
      <w:r>
        <w:rPr>
          <w:rFonts w:ascii="Arial" w:cs="Arial" w:eastAsia="Arial" w:hAnsi="Arial"/>
          <w:sz w:val="21"/>
          <w:szCs w:val="21"/>
          <w:color w:val="auto"/>
        </w:rPr>
        <w:t>”) in the State of Delaware, and the name of its registered agent at such address, shall be fixed in the Corporation’s certificate of incorporation, as the same may be amended and/or restated from time to time (the “</w:t>
      </w:r>
      <w:r>
        <w:rPr>
          <w:rFonts w:ascii="Arial" w:cs="Arial" w:eastAsia="Arial" w:hAnsi="Arial"/>
          <w:sz w:val="21"/>
          <w:szCs w:val="21"/>
          <w:u w:val="single" w:color="auto"/>
          <w:color w:val="auto"/>
        </w:rPr>
        <w:t>certificate of incorporation</w:t>
      </w:r>
      <w:r>
        <w:rPr>
          <w:rFonts w:ascii="Arial" w:cs="Arial" w:eastAsia="Arial" w:hAnsi="Arial"/>
          <w:sz w:val="21"/>
          <w:szCs w:val="21"/>
          <w:color w:val="auto"/>
        </w:rPr>
        <w:t>”).</w:t>
      </w:r>
    </w:p>
    <w:p>
      <w:pPr>
        <w:spacing w:after="0" w:line="167" w:lineRule="exact"/>
        <w:rPr>
          <w:sz w:val="20"/>
          <w:szCs w:val="20"/>
          <w:color w:val="auto"/>
        </w:rPr>
      </w:pPr>
    </w:p>
    <w:p>
      <w:pPr>
        <w:ind w:right="120" w:firstLine="648"/>
        <w:spacing w:after="0" w:line="253" w:lineRule="auto"/>
        <w:rPr>
          <w:sz w:val="20"/>
          <w:szCs w:val="20"/>
          <w:color w:val="auto"/>
        </w:rPr>
      </w:pPr>
      <w:r>
        <w:rPr>
          <w:rFonts w:ascii="Arial" w:cs="Arial" w:eastAsia="Arial" w:hAnsi="Arial"/>
          <w:sz w:val="22"/>
          <w:szCs w:val="22"/>
          <w:color w:val="auto"/>
        </w:rPr>
        <w:t>1.2 OTHER OFFICES The Corporation may have other offices at any place or places, either within or outside the State of Delaware, as the Corporation’s board of directors (the “</w:t>
      </w:r>
      <w:r>
        <w:rPr>
          <w:rFonts w:ascii="Arial" w:cs="Arial" w:eastAsia="Arial" w:hAnsi="Arial"/>
          <w:sz w:val="22"/>
          <w:szCs w:val="22"/>
          <w:u w:val="single" w:color="auto"/>
          <w:color w:val="auto"/>
        </w:rPr>
        <w:t>Board</w:t>
      </w:r>
      <w:r>
        <w:rPr>
          <w:rFonts w:ascii="Arial" w:cs="Arial" w:eastAsia="Arial" w:hAnsi="Arial"/>
          <w:sz w:val="22"/>
          <w:szCs w:val="22"/>
          <w:color w:val="auto"/>
        </w:rPr>
        <w:t>”) may from time to time establish or as the business of the Corporation may from time to time require.</w:t>
      </w:r>
    </w:p>
    <w:p>
      <w:pPr>
        <w:spacing w:after="0" w:line="179" w:lineRule="exact"/>
        <w:rPr>
          <w:sz w:val="20"/>
          <w:szCs w:val="20"/>
          <w:color w:val="auto"/>
        </w:rPr>
      </w:pPr>
    </w:p>
    <w:p>
      <w:pPr>
        <w:jc w:val="center"/>
        <w:ind w:left="640"/>
        <w:spacing w:after="0"/>
        <w:rPr>
          <w:sz w:val="20"/>
          <w:szCs w:val="20"/>
          <w:color w:val="auto"/>
        </w:rPr>
      </w:pPr>
      <w:r>
        <w:rPr>
          <w:rFonts w:ascii="Arial" w:cs="Arial" w:eastAsia="Arial" w:hAnsi="Arial"/>
          <w:sz w:val="22"/>
          <w:szCs w:val="22"/>
          <w:b w:val="1"/>
          <w:bCs w:val="1"/>
          <w:color w:val="auto"/>
        </w:rPr>
        <w:t>ARTICLE II - MEETINGS OF STOCKHOLDERS</w:t>
      </w:r>
    </w:p>
    <w:p>
      <w:pPr>
        <w:spacing w:after="0" w:line="226" w:lineRule="exact"/>
        <w:rPr>
          <w:sz w:val="20"/>
          <w:szCs w:val="20"/>
          <w:color w:val="auto"/>
        </w:rPr>
      </w:pPr>
    </w:p>
    <w:p>
      <w:pPr>
        <w:ind w:right="180" w:firstLine="648"/>
        <w:spacing w:after="0" w:line="297" w:lineRule="auto"/>
        <w:rPr>
          <w:sz w:val="20"/>
          <w:szCs w:val="20"/>
          <w:color w:val="auto"/>
        </w:rPr>
      </w:pPr>
      <w:r>
        <w:rPr>
          <w:rFonts w:ascii="Arial" w:cs="Arial" w:eastAsia="Arial" w:hAnsi="Arial"/>
          <w:sz w:val="19"/>
          <w:szCs w:val="19"/>
          <w:color w:val="auto"/>
        </w:rPr>
        <w:t>2.1 PLACE OF MEETINGS Meetings of stockholders shall be held at such place, if any, within or outside the State of Delaware, designated by the Board. The Board may, in its sole discretion, determine that a meeting of stockholders shall not be held at any place, but may instead be held solely by means of remote communication as authorized by Section 211(a)(2) of the General Corporation Law of the State of Delaware (the “</w:t>
      </w:r>
      <w:r>
        <w:rPr>
          <w:rFonts w:ascii="Arial" w:cs="Arial" w:eastAsia="Arial" w:hAnsi="Arial"/>
          <w:sz w:val="19"/>
          <w:szCs w:val="19"/>
          <w:u w:val="single" w:color="auto"/>
          <w:color w:val="auto"/>
        </w:rPr>
        <w:t>DGCL</w:t>
      </w:r>
      <w:r>
        <w:rPr>
          <w:rFonts w:ascii="Arial" w:cs="Arial" w:eastAsia="Arial" w:hAnsi="Arial"/>
          <w:sz w:val="19"/>
          <w:szCs w:val="19"/>
          <w:color w:val="auto"/>
        </w:rPr>
        <w:t>”). In the absence of any such designation or determination, stockholders’ meetings shall be held at the Corporation’s principal executive office.</w:t>
      </w:r>
    </w:p>
    <w:p>
      <w:pPr>
        <w:spacing w:after="0" w:line="147" w:lineRule="exact"/>
        <w:rPr>
          <w:sz w:val="20"/>
          <w:szCs w:val="20"/>
          <w:color w:val="auto"/>
        </w:rPr>
      </w:pPr>
    </w:p>
    <w:p>
      <w:pPr>
        <w:ind w:right="200" w:firstLine="648"/>
        <w:spacing w:after="0" w:line="253" w:lineRule="auto"/>
        <w:rPr>
          <w:sz w:val="20"/>
          <w:szCs w:val="20"/>
          <w:color w:val="auto"/>
        </w:rPr>
      </w:pPr>
      <w:r>
        <w:rPr>
          <w:rFonts w:ascii="Arial" w:cs="Arial" w:eastAsia="Arial" w:hAnsi="Arial"/>
          <w:sz w:val="22"/>
          <w:szCs w:val="22"/>
          <w:color w:val="auto"/>
        </w:rPr>
        <w:t>2.2 ANNUAL MEETING The Board shall designate the date and time of the annual meeting. At the annual meeting, directors shall be elected and other proper business properly brought before the meeting in accordance with Section 2.4 of these bylaws may be transacted.</w:t>
      </w:r>
    </w:p>
    <w:p>
      <w:pPr>
        <w:spacing w:after="0" w:line="185" w:lineRule="exact"/>
        <w:rPr>
          <w:sz w:val="20"/>
          <w:szCs w:val="20"/>
          <w:color w:val="auto"/>
        </w:rPr>
      </w:pPr>
    </w:p>
    <w:p>
      <w:pPr>
        <w:jc w:val="both"/>
        <w:ind w:right="160" w:firstLine="648"/>
        <w:spacing w:after="0" w:line="312" w:lineRule="auto"/>
        <w:rPr>
          <w:sz w:val="20"/>
          <w:szCs w:val="20"/>
          <w:color w:val="auto"/>
        </w:rPr>
      </w:pPr>
      <w:r>
        <w:rPr>
          <w:rFonts w:ascii="Arial" w:cs="Arial" w:eastAsia="Arial" w:hAnsi="Arial"/>
          <w:sz w:val="19"/>
          <w:szCs w:val="19"/>
          <w:color w:val="auto"/>
        </w:rPr>
        <w:t>2.3 SPECIAL MEETING Subject to the rights of the holders of any series of preferred stock, a special meeting of the stockholders may be called at any time by the Board, the chairperson of the Board, or the chief executive officer or president (in the absence of a chief executive officer) of the Corporation, and may not be called by any other person or persons.</w:t>
      </w:r>
    </w:p>
    <w:p>
      <w:pPr>
        <w:spacing w:after="0" w:line="1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 business may be transacted at any special meeting of stockholders other than the business specified in the notice of such meeting. Nothing contained in this paragraph of this Section 2.3 shall be construed as limiting, fixing or otherwise affecting the time when a meeting of stockholders called by action of the Board may be held.</w:t>
      </w:r>
    </w:p>
    <w:p>
      <w:pPr>
        <w:spacing w:after="0" w:line="185" w:lineRule="exact"/>
        <w:rPr>
          <w:sz w:val="20"/>
          <w:szCs w:val="20"/>
          <w:color w:val="auto"/>
        </w:rPr>
      </w:pPr>
    </w:p>
    <w:p>
      <w:pPr>
        <w:ind w:right="20" w:firstLine="648"/>
        <w:spacing w:after="0" w:line="265" w:lineRule="auto"/>
        <w:rPr>
          <w:sz w:val="20"/>
          <w:szCs w:val="20"/>
          <w:color w:val="auto"/>
        </w:rPr>
      </w:pPr>
      <w:r>
        <w:rPr>
          <w:rFonts w:ascii="Arial" w:cs="Arial" w:eastAsia="Arial" w:hAnsi="Arial"/>
          <w:sz w:val="21"/>
          <w:szCs w:val="21"/>
          <w:color w:val="auto"/>
        </w:rPr>
        <w:t>2.4 ADVANCE NOTICE PROCEDURES FOR BUSINESS BROUGHT BEFORE A MEETING At an annual meeting of the stockholders, only such business shall be conducted as shall have been properly brought before the meeting. To be properly brought before an annual meeting, business must be (i) specified in a notice of meeting given by or at the direction of the Board or a duly authorized committee of the Board, (ii) if not specified in a notice of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22" w:right="339" w:bottom="1440" w:gutter="0" w:footer="0" w:header="0"/>
        </w:sectPr>
      </w:pPr>
    </w:p>
    <w:bookmarkStart w:id="17" w:name="page18"/>
    <w:bookmarkEnd w:id="17"/>
    <w:p>
      <w:pPr>
        <w:ind w:right="120"/>
        <w:spacing w:after="0" w:line="286" w:lineRule="auto"/>
        <w:rPr>
          <w:sz w:val="20"/>
          <w:szCs w:val="20"/>
          <w:color w:val="auto"/>
        </w:rPr>
      </w:pPr>
      <w:r>
        <w:rPr>
          <w:rFonts w:ascii="Arial" w:cs="Arial" w:eastAsia="Arial" w:hAnsi="Arial"/>
          <w:sz w:val="19"/>
          <w:szCs w:val="19"/>
          <w:color w:val="auto"/>
        </w:rPr>
        <w:t>otherwise brought before the meeting by or at the direction of the Board, a duly authorized committee of the Board or the person presiding over the meeting, or (iii) otherwise properly brought before the meeting by a stockholder present in person who (A)(1) was a record owner of shares of the Corporation both at the time of giving the notice provided for in this Section 2.4 and at the time of the meeting, (2) is entitled to vote at the meeting and (3) has complied with this Section 2.4 in all applicable respects, or</w:t>
      </w:r>
    </w:p>
    <w:p>
      <w:pPr>
        <w:spacing w:after="0" w:line="3" w:lineRule="exact"/>
        <w:rPr>
          <w:sz w:val="20"/>
          <w:szCs w:val="20"/>
          <w:color w:val="auto"/>
        </w:rPr>
      </w:pPr>
    </w:p>
    <w:p>
      <w:pPr>
        <w:ind w:firstLine="8"/>
        <w:spacing w:after="0" w:line="284" w:lineRule="auto"/>
        <w:tabs>
          <w:tab w:leader="none" w:pos="342" w:val="left"/>
        </w:tabs>
        <w:numPr>
          <w:ilvl w:val="0"/>
          <w:numId w:val="9"/>
        </w:numPr>
        <w:rPr>
          <w:rFonts w:ascii="Arial" w:cs="Arial" w:eastAsia="Arial" w:hAnsi="Arial"/>
          <w:sz w:val="19"/>
          <w:szCs w:val="19"/>
          <w:color w:val="auto"/>
        </w:rPr>
      </w:pPr>
      <w:r>
        <w:rPr>
          <w:rFonts w:ascii="Arial" w:cs="Arial" w:eastAsia="Arial" w:hAnsi="Arial"/>
          <w:sz w:val="19"/>
          <w:szCs w:val="19"/>
          <w:color w:val="auto"/>
        </w:rPr>
        <w:t>properly made such proposal in accordance with Rule 14a-8 under the Securities Exchange Act of 1934, as amended, and the rules and regulations thereunder (as so amended and inclusive of such rules and regulations, the “</w:t>
      </w:r>
      <w:r>
        <w:rPr>
          <w:rFonts w:ascii="Arial" w:cs="Arial" w:eastAsia="Arial" w:hAnsi="Arial"/>
          <w:sz w:val="19"/>
          <w:szCs w:val="19"/>
          <w:u w:val="single" w:color="auto"/>
          <w:color w:val="auto"/>
        </w:rPr>
        <w:t>Exchange Act</w:t>
      </w:r>
      <w:r>
        <w:rPr>
          <w:rFonts w:ascii="Arial" w:cs="Arial" w:eastAsia="Arial" w:hAnsi="Arial"/>
          <w:sz w:val="19"/>
          <w:szCs w:val="19"/>
          <w:color w:val="auto"/>
        </w:rPr>
        <w:t>”), which proposal has been included in the proxy statement for the annual meeting. Unless otherwise required by law, if the stockholder is not present in person to present the proposed business, such proposed business shall not be transacted, notwithstanding that proxies in respect of such vote may have been received by the Corporation. The foregoing clause (iii) of this Section 2.4(a) shall be the exclusive means for a stockholder to propose business to be brought before an annual meeting of the stockholders. The only matters that may be brought before a special meeting are the matters specified in the notice of meeting given by or at the direction of the person calling the meeting pursuant to Section 2.3 of these bylaws, and subject to any rights of holders of preferred stock, stockholders shall not be permitted to propose business to be brought before a special meeting of the stockholders. For purposes of this Section 2.4, “</w:t>
      </w:r>
      <w:r>
        <w:rPr>
          <w:rFonts w:ascii="Arial" w:cs="Arial" w:eastAsia="Arial" w:hAnsi="Arial"/>
          <w:sz w:val="19"/>
          <w:szCs w:val="19"/>
          <w:u w:val="single" w:color="auto"/>
          <w:color w:val="auto"/>
        </w:rPr>
        <w:t>present in person</w:t>
      </w:r>
      <w:r>
        <w:rPr>
          <w:rFonts w:ascii="Arial" w:cs="Arial" w:eastAsia="Arial" w:hAnsi="Arial"/>
          <w:sz w:val="19"/>
          <w:szCs w:val="19"/>
          <w:color w:val="auto"/>
        </w:rPr>
        <w:t>” shall mean that the stockholder proposing that the business be brought before the annual meeting of the Corporation, or a qualified representative of such proposing stockholder, appear at such annual meeting. A “</w:t>
      </w:r>
      <w:r>
        <w:rPr>
          <w:rFonts w:ascii="Arial" w:cs="Arial" w:eastAsia="Arial" w:hAnsi="Arial"/>
          <w:sz w:val="19"/>
          <w:szCs w:val="19"/>
          <w:u w:val="single" w:color="auto"/>
          <w:color w:val="auto"/>
        </w:rPr>
        <w:t>qualified representative</w:t>
      </w:r>
      <w:r>
        <w:rPr>
          <w:rFonts w:ascii="Arial" w:cs="Arial" w:eastAsia="Arial" w:hAnsi="Arial"/>
          <w:sz w:val="19"/>
          <w:szCs w:val="19"/>
          <w:color w:val="auto"/>
        </w:rPr>
        <w:t>”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such meeting of stockholders. Stockholders seeking to nominate persons for election to the Board must comply with Section 2.5 of these bylaws, and this Section 2.4 shall not be applicable to nominations for election to the Board except as expressly provided in Section 2.5 of these bylaws.</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jc w:val="both"/>
        <w:ind w:firstLine="1304"/>
        <w:spacing w:after="0" w:line="272" w:lineRule="auto"/>
        <w:tabs>
          <w:tab w:leader="none" w:pos="1842" w:val="left"/>
        </w:tabs>
        <w:numPr>
          <w:ilvl w:val="1"/>
          <w:numId w:val="9"/>
        </w:numPr>
        <w:rPr>
          <w:rFonts w:ascii="Arial" w:cs="Arial" w:eastAsia="Arial" w:hAnsi="Arial"/>
          <w:sz w:val="19"/>
          <w:szCs w:val="19"/>
          <w:color w:val="auto"/>
        </w:rPr>
      </w:pPr>
      <w:r>
        <w:rPr>
          <w:rFonts w:ascii="Arial" w:cs="Arial" w:eastAsia="Arial" w:hAnsi="Arial"/>
          <w:sz w:val="19"/>
          <w:szCs w:val="19"/>
          <w:color w:val="auto"/>
        </w:rPr>
        <w:t xml:space="preserve">Without qualification, for business to be properly brought before an annual meeting by a stockholder, the stockholder must (i) provide Timely Notice (as defined below) thereof in writing and in proper form to the secretary of the Corporation and (ii) provide any updates or supplements to such notice at the times and in the forms required by this Section 2.4. To be timely, a stockholder’s notice must be delivered to, or mailed and received by the secretary of the Corporation at, the principal executive offices of the Corporation not less than ninety (90) days nor more than one hundred twenty (120) days prior to the one-year anniversary of the preceding year’s annual meeting (which date shall, for purposes of the Corporation’s first annual meeting held after the Corporation’s initial public offering of its shares pursuant to a registration statement on Form S-1, be deemed to be June 4, 2021); </w:t>
      </w:r>
      <w:r>
        <w:rPr>
          <w:rFonts w:ascii="Arial" w:cs="Arial" w:eastAsia="Arial" w:hAnsi="Arial"/>
          <w:sz w:val="19"/>
          <w:szCs w:val="19"/>
          <w:i w:val="1"/>
          <w:iCs w:val="1"/>
          <w:u w:val="single" w:color="auto"/>
          <w:color w:val="auto"/>
        </w:rPr>
        <w:t>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however</w:t>
      </w:r>
      <w:r>
        <w:rPr>
          <w:rFonts w:ascii="Arial" w:cs="Arial" w:eastAsia="Arial" w:hAnsi="Arial"/>
          <w:sz w:val="19"/>
          <w:szCs w:val="19"/>
          <w:color w:val="auto"/>
        </w:rPr>
        <w:t>, that if the date of the annual meeting is more than thirty (30) days before or more than sixty (60) days after such anniversary date, such notice must be delivered not earlier than the close of business on the one hundred twentieth (120</w:t>
      </w:r>
      <w:r>
        <w:rPr>
          <w:rFonts w:ascii="Arial" w:cs="Arial" w:eastAsia="Arial" w:hAnsi="Arial"/>
          <w:sz w:val="25"/>
          <w:szCs w:val="25"/>
          <w:color w:val="auto"/>
          <w:vertAlign w:val="superscript"/>
        </w:rPr>
        <w:t>th</w:t>
      </w:r>
      <w:r>
        <w:rPr>
          <w:rFonts w:ascii="Arial" w:cs="Arial" w:eastAsia="Arial" w:hAnsi="Arial"/>
          <w:sz w:val="19"/>
          <w:szCs w:val="19"/>
          <w:color w:val="auto"/>
        </w:rPr>
        <w:t>) day prior to such annual meeting and not later than the later of the close of business on the ninetieth (90</w:t>
      </w:r>
      <w:r>
        <w:rPr>
          <w:rFonts w:ascii="Arial" w:cs="Arial" w:eastAsia="Arial" w:hAnsi="Arial"/>
          <w:sz w:val="25"/>
          <w:szCs w:val="25"/>
          <w:color w:val="auto"/>
          <w:vertAlign w:val="superscript"/>
        </w:rPr>
        <w:t>th</w:t>
      </w:r>
      <w:r>
        <w:rPr>
          <w:rFonts w:ascii="Arial" w:cs="Arial" w:eastAsia="Arial" w:hAnsi="Arial"/>
          <w:sz w:val="19"/>
          <w:szCs w:val="19"/>
          <w:color w:val="auto"/>
        </w:rPr>
        <w:t>) day prior to such annual meeting or the close of business on the tenth (10</w:t>
      </w:r>
      <w:r>
        <w:rPr>
          <w:rFonts w:ascii="Arial" w:cs="Arial" w:eastAsia="Arial" w:hAnsi="Arial"/>
          <w:sz w:val="25"/>
          <w:szCs w:val="25"/>
          <w:color w:val="auto"/>
          <w:vertAlign w:val="superscript"/>
        </w:rPr>
        <w:t>th</w:t>
      </w:r>
      <w:r>
        <w:rPr>
          <w:rFonts w:ascii="Arial" w:cs="Arial" w:eastAsia="Arial" w:hAnsi="Arial"/>
          <w:sz w:val="19"/>
          <w:szCs w:val="19"/>
          <w:color w:val="auto"/>
        </w:rPr>
        <w:t>) day following the day on which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18" w:name="page19"/>
    <w:bookmarkEnd w:id="18"/>
    <w:p>
      <w:pPr>
        <w:jc w:val="both"/>
        <w:spacing w:after="0" w:line="271" w:lineRule="auto"/>
        <w:rPr>
          <w:sz w:val="20"/>
          <w:szCs w:val="20"/>
          <w:color w:val="auto"/>
        </w:rPr>
      </w:pPr>
      <w:r>
        <w:rPr>
          <w:rFonts w:ascii="Arial" w:cs="Arial" w:eastAsia="Arial" w:hAnsi="Arial"/>
          <w:sz w:val="21"/>
          <w:szCs w:val="21"/>
          <w:color w:val="auto"/>
        </w:rPr>
        <w:t>disclosure of the date of such annual meeting was first made by the Corporation (such notice within such time periods, “</w:t>
      </w:r>
      <w:r>
        <w:rPr>
          <w:rFonts w:ascii="Arial" w:cs="Arial" w:eastAsia="Arial" w:hAnsi="Arial"/>
          <w:sz w:val="21"/>
          <w:szCs w:val="21"/>
          <w:u w:val="single" w:color="auto"/>
          <w:color w:val="auto"/>
        </w:rPr>
        <w:t>Timely</w:t>
      </w:r>
      <w:r>
        <w:rPr>
          <w:rFonts w:ascii="Arial" w:cs="Arial" w:eastAsia="Arial" w:hAnsi="Arial"/>
          <w:sz w:val="21"/>
          <w:szCs w:val="21"/>
          <w:color w:val="auto"/>
        </w:rPr>
        <w:t xml:space="preserve"> </w:t>
      </w:r>
      <w:r>
        <w:rPr>
          <w:rFonts w:ascii="Arial" w:cs="Arial" w:eastAsia="Arial" w:hAnsi="Arial"/>
          <w:sz w:val="21"/>
          <w:szCs w:val="21"/>
          <w:u w:val="single" w:color="auto"/>
          <w:color w:val="auto"/>
        </w:rPr>
        <w:t>Notice</w:t>
      </w:r>
      <w:r>
        <w:rPr>
          <w:rFonts w:ascii="Arial" w:cs="Arial" w:eastAsia="Arial" w:hAnsi="Arial"/>
          <w:sz w:val="21"/>
          <w:szCs w:val="21"/>
          <w:color w:val="auto"/>
        </w:rPr>
        <w:t>”). In no event shall any adjournment or postponement of an annual meeting or the announcement thereof commence a new time period (or extend any time period) for the giving of Timely Notice as described above.</w:t>
      </w:r>
    </w:p>
    <w:p>
      <w:pPr>
        <w:spacing w:after="0" w:line="167" w:lineRule="exact"/>
        <w:rPr>
          <w:sz w:val="20"/>
          <w:szCs w:val="20"/>
          <w:color w:val="auto"/>
        </w:rPr>
      </w:pPr>
    </w:p>
    <w:p>
      <w:pPr>
        <w:ind w:right="20" w:firstLine="1304"/>
        <w:spacing w:after="0" w:line="263" w:lineRule="auto"/>
        <w:tabs>
          <w:tab w:leader="none" w:pos="1929" w:val="left"/>
        </w:tabs>
        <w:numPr>
          <w:ilvl w:val="0"/>
          <w:numId w:val="10"/>
        </w:numPr>
        <w:rPr>
          <w:rFonts w:ascii="Arial" w:cs="Arial" w:eastAsia="Arial" w:hAnsi="Arial"/>
          <w:sz w:val="22"/>
          <w:szCs w:val="22"/>
          <w:color w:val="auto"/>
        </w:rPr>
      </w:pPr>
      <w:r>
        <w:rPr>
          <w:rFonts w:ascii="Arial" w:cs="Arial" w:eastAsia="Arial" w:hAnsi="Arial"/>
          <w:sz w:val="22"/>
          <w:szCs w:val="22"/>
          <w:color w:val="auto"/>
        </w:rPr>
        <w:t>To be in proper form for purposes of this Section 2.4, a stockholder’s notice to the secretary of the Corporation shall set forth:</w:t>
      </w:r>
    </w:p>
    <w:p>
      <w:pPr>
        <w:spacing w:after="0" w:line="174" w:lineRule="exact"/>
        <w:rPr>
          <w:rFonts w:ascii="Arial" w:cs="Arial" w:eastAsia="Arial" w:hAnsi="Arial"/>
          <w:sz w:val="22"/>
          <w:szCs w:val="22"/>
          <w:color w:val="auto"/>
        </w:rPr>
      </w:pPr>
    </w:p>
    <w:p>
      <w:pPr>
        <w:jc w:val="both"/>
        <w:ind w:left="1300" w:firstLine="652"/>
        <w:spacing w:after="0" w:line="258" w:lineRule="auto"/>
        <w:tabs>
          <w:tab w:leader="none" w:pos="2388" w:val="left"/>
        </w:tabs>
        <w:numPr>
          <w:ilvl w:val="1"/>
          <w:numId w:val="10"/>
        </w:numPr>
        <w:rPr>
          <w:rFonts w:ascii="Arial" w:cs="Arial" w:eastAsia="Arial" w:hAnsi="Arial"/>
          <w:sz w:val="21"/>
          <w:szCs w:val="21"/>
          <w:color w:val="auto"/>
        </w:rPr>
      </w:pPr>
      <w:r>
        <w:rPr>
          <w:rFonts w:ascii="Arial" w:cs="Arial" w:eastAsia="Arial" w:hAnsi="Arial"/>
          <w:sz w:val="21"/>
          <w:szCs w:val="21"/>
          <w:color w:val="auto"/>
        </w:rPr>
        <w:t>As to each Proposing Person (as defined below), (A) the name and address of such Proposing Person (including, if applicable, the name and address that appear on the Corporation’s books and records); (B) the number of shares of each class or series of stock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stock of the Corporation as to which such Proposing Person has a right to acquire beneficial ownership at any time in the future; and (C) a representation that the stockholder is a holder of record of stock of the Corporation entitled to vote at the meeting and intends to be present in person at the meeting to propose such business (the disclosures to be made pursuant to the foregoing clauses (A)‒(C) are referred to as “</w:t>
      </w:r>
      <w:r>
        <w:rPr>
          <w:rFonts w:ascii="Arial" w:cs="Arial" w:eastAsia="Arial" w:hAnsi="Arial"/>
          <w:sz w:val="21"/>
          <w:szCs w:val="21"/>
          <w:u w:val="single" w:color="auto"/>
          <w:color w:val="auto"/>
        </w:rPr>
        <w:t>Stockholder</w:t>
      </w:r>
      <w:r>
        <w:rPr>
          <w:rFonts w:ascii="Arial" w:cs="Arial" w:eastAsia="Arial" w:hAnsi="Arial"/>
          <w:sz w:val="21"/>
          <w:szCs w:val="21"/>
          <w:color w:val="auto"/>
        </w:rPr>
        <w:t xml:space="preserve"> </w:t>
      </w:r>
      <w:r>
        <w:rPr>
          <w:rFonts w:ascii="Arial" w:cs="Arial" w:eastAsia="Arial" w:hAnsi="Arial"/>
          <w:sz w:val="21"/>
          <w:szCs w:val="21"/>
          <w:u w:val="single" w:color="auto"/>
          <w:color w:val="auto"/>
        </w:rPr>
        <w:t>Information</w:t>
      </w:r>
      <w:r>
        <w:rPr>
          <w:rFonts w:ascii="Arial" w:cs="Arial" w:eastAsia="Arial" w:hAnsi="Arial"/>
          <w:sz w:val="21"/>
          <w:szCs w:val="21"/>
          <w:color w:val="auto"/>
        </w:rPr>
        <w:t>”);</w:t>
      </w:r>
    </w:p>
    <w:p>
      <w:pPr>
        <w:spacing w:after="0" w:line="185" w:lineRule="exact"/>
        <w:rPr>
          <w:rFonts w:ascii="Arial" w:cs="Arial" w:eastAsia="Arial" w:hAnsi="Arial"/>
          <w:sz w:val="21"/>
          <w:szCs w:val="21"/>
          <w:color w:val="auto"/>
        </w:rPr>
      </w:pPr>
    </w:p>
    <w:p>
      <w:pPr>
        <w:jc w:val="both"/>
        <w:ind w:left="1300" w:firstLine="652"/>
        <w:spacing w:after="0" w:line="285" w:lineRule="auto"/>
        <w:tabs>
          <w:tab w:leader="none" w:pos="2419" w:val="left"/>
        </w:tabs>
        <w:numPr>
          <w:ilvl w:val="1"/>
          <w:numId w:val="10"/>
        </w:numPr>
        <w:rPr>
          <w:rFonts w:ascii="Arial" w:cs="Arial" w:eastAsia="Arial" w:hAnsi="Arial"/>
          <w:sz w:val="19"/>
          <w:szCs w:val="19"/>
          <w:color w:val="auto"/>
        </w:rPr>
      </w:pPr>
      <w:r>
        <w:rPr>
          <w:rFonts w:ascii="Arial" w:cs="Arial" w:eastAsia="Arial" w:hAnsi="Arial"/>
          <w:sz w:val="19"/>
          <w:szCs w:val="19"/>
          <w:color w:val="auto"/>
        </w:rPr>
        <w:t>As to each Proposing Person, (A) the full notional amount of any securities that, directly or indirectly, underlie any “derivative security” (as such term is defined in Rule 16a-1(c) under the Exchange Act) that constitutes a “call equivalent position” (as such term is defined in Rule 16a-1(b) under the Exchange Act) (“</w:t>
      </w:r>
      <w:r>
        <w:rPr>
          <w:rFonts w:ascii="Arial" w:cs="Arial" w:eastAsia="Arial" w:hAnsi="Arial"/>
          <w:sz w:val="19"/>
          <w:szCs w:val="19"/>
          <w:u w:val="single" w:color="auto"/>
          <w:color w:val="auto"/>
        </w:rPr>
        <w:t>Synthetic Equity Position</w:t>
      </w:r>
      <w:r>
        <w:rPr>
          <w:rFonts w:ascii="Arial" w:cs="Arial" w:eastAsia="Arial" w:hAnsi="Arial"/>
          <w:sz w:val="19"/>
          <w:szCs w:val="19"/>
          <w:color w:val="auto"/>
        </w:rPr>
        <w:t xml:space="preserve">”) and that is, directly or indirectly, held or maintained by such Proposing Person with respect to any shares of any class or series of stock of the Corporation;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i w:val="1"/>
          <w:iCs w:val="1"/>
          <w:u w:val="single" w:color="auto"/>
          <w:color w:val="auto"/>
        </w:rPr>
        <w:t>further</w:t>
      </w:r>
      <w:r>
        <w:rPr>
          <w:rFonts w:ascii="Arial" w:cs="Arial" w:eastAsia="Arial" w:hAnsi="Arial"/>
          <w:sz w:val="19"/>
          <w:szCs w:val="19"/>
          <w:color w:val="auto"/>
        </w:rPr>
        <w:t>, that any Proposing Person satisfying the requirements of Rule 13d-1(b)(1) under the Exchange</w:t>
      </w:r>
      <w:r>
        <w:rPr>
          <w:rFonts w:ascii="Arial" w:cs="Arial" w:eastAsia="Arial" w:hAnsi="Arial"/>
          <w:sz w:val="19"/>
          <w:szCs w:val="19"/>
          <w:i w:val="1"/>
          <w:iCs w:val="1"/>
          <w:color w:val="auto"/>
        </w:rPr>
        <w:t xml:space="preserve"> </w:t>
      </w:r>
      <w:r>
        <w:rPr>
          <w:rFonts w:ascii="Arial" w:cs="Arial" w:eastAsia="Arial" w:hAnsi="Arial"/>
          <w:sz w:val="19"/>
          <w:szCs w:val="19"/>
          <w:color w:val="auto"/>
        </w:rPr>
        <w:t>Act (other than a Proposing Person that so satisfies Rule 13d-1(b)(1) under the Exchange Act solely by reason of Rule 13d-1(b)(1)(ii)(E)) shall not be deemed to hold or maintain the notional amount of any securities that underlie a Synthetic Equity Position held by such Proposing Person as a hedge with respect to a bona fide derivatives trade or position of such Proposing Person arising in the ordinary course of such Proposing Person's business as a derivatives dealer, (B) any rights to dividends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19" w:name="page20"/>
    <w:bookmarkEnd w:id="19"/>
    <w:p>
      <w:pPr>
        <w:jc w:val="both"/>
        <w:ind w:left="180"/>
        <w:spacing w:after="0" w:line="283" w:lineRule="auto"/>
        <w:rPr>
          <w:sz w:val="20"/>
          <w:szCs w:val="20"/>
          <w:color w:val="auto"/>
        </w:rPr>
      </w:pPr>
      <w:r>
        <w:rPr>
          <w:rFonts w:ascii="Arial" w:cs="Arial" w:eastAsia="Arial" w:hAnsi="Arial"/>
          <w:sz w:val="19"/>
          <w:szCs w:val="19"/>
          <w:color w:val="auto"/>
        </w:rPr>
        <w:t>the shares of any class or series of stock of the Corporation owned beneficially by such Proposing Person that are separated or separable from the underlying shares of the Corporation, (C)(x) if such Proposing Person is (i) a general or limited partnership, syndicate or other group, the identity of each general partner and each person who functions as a general partner of the general or limited partnership, each member of the syndicate or group and each person controlling the general partner or member, (ii) a corporation or a limited liability company, the identity of each officer and each person who functions as an officer of the corporation or limited liability company, each person controlling the corporation or limited liability company and each officer, director, general partner and person who functions as an officer, director or general partner of any entity ultimately in control of the corporation or limited liability company or (iii) a trust, any trustee of such trust (each such person or persons set forth in the preceding clauses (i), (ii) and (iii), a “</w:t>
      </w:r>
      <w:r>
        <w:rPr>
          <w:rFonts w:ascii="Arial" w:cs="Arial" w:eastAsia="Arial" w:hAnsi="Arial"/>
          <w:sz w:val="19"/>
          <w:szCs w:val="19"/>
          <w:u w:val="single" w:color="auto"/>
          <w:color w:val="auto"/>
        </w:rPr>
        <w:t>Responsible Person</w:t>
      </w:r>
      <w:r>
        <w:rPr>
          <w:rFonts w:ascii="Arial" w:cs="Arial" w:eastAsia="Arial" w:hAnsi="Arial"/>
          <w:sz w:val="19"/>
          <w:szCs w:val="19"/>
          <w:color w:val="auto"/>
        </w:rPr>
        <w:t>”), any fiduciary duties owed by such Responsible Person to the equity holders or other beneficiaries of such Proposing Person and any material interests or relationships of such Responsible Person that are not shared generally by other record holders or beneficial owners of the shares of any class or series of stock of the Corporation and that reasonably could have influenced the decision of such Proposing Person to propose such business to be brought before the meeting, and (y) if such Proposing Person is a natural person, any material interests or relationships of such natural person that are not shared generally by other record holders or beneficial owners of the shares of any class or series of stock of the Corporation and that reasonably could have influenced the decision of such Proposing Person to propose such business to be brought before the meeting, (D) any material shares or any Synthetic Equity Position in any principal competitor of the Corporation in any principal industry of the Corporation held by such Proposing Persons, (E) a summary of any material discussions regarding the business proposed to be brought before the meeting (x) between or among any of the Proposing Persons or (y) between or among any Proposing Person and any other record holders or beneficial owners of the shares of any class or series of stock of the Corporation (including their names), (F) any material pending or threatened legal proceeding in which such Proposing Person is a party or material participant involving the Corporation or any of its officers or directors, or any affiliate of the Corporation, (G) any other material relationship between such Proposing Person, on the one hand, and the Corporation, any affiliate of the Corporation or any principal competitor of the Corporation, on the other hand, (H) any direct or indirect material interest in any material contract or agreement of such Proposing Person with the Corporation, any affiliate of the Corporation or any principal competitor of the Corporation (including, in any such case, any employment agreement, collective bargaining agreement or consulting agreement), (I) a representation whether such Proposing Person intends or is part of a group which intends to deliver a proxy statement or form of proxy to holders of at least the percentage of the Corporation’s outstanding capital stock required to approve or adopt the proposal or otherwise solicit proxies from stockholders in support of such proposal, and (J) any other information relating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120"/>
          </w:cols>
          <w:pgMar w:left="1440" w:top="1428" w:right="339" w:bottom="1440" w:gutter="0" w:footer="0" w:header="0"/>
        </w:sectPr>
      </w:pPr>
    </w:p>
    <w:bookmarkStart w:id="20" w:name="page21"/>
    <w:bookmarkEnd w:id="20"/>
    <w:p>
      <w:pPr>
        <w:jc w:val="both"/>
        <w:ind w:left="1300"/>
        <w:spacing w:after="0" w:line="259" w:lineRule="auto"/>
        <w:rPr>
          <w:sz w:val="20"/>
          <w:szCs w:val="20"/>
          <w:color w:val="auto"/>
        </w:rPr>
      </w:pPr>
      <w:r>
        <w:rPr>
          <w:rFonts w:ascii="Arial" w:cs="Arial" w:eastAsia="Arial" w:hAnsi="Arial"/>
          <w:sz w:val="21"/>
          <w:szCs w:val="21"/>
          <w:color w:val="auto"/>
        </w:rPr>
        <w:t>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(J) are referred to as “</w:t>
      </w:r>
      <w:r>
        <w:rPr>
          <w:rFonts w:ascii="Arial" w:cs="Arial" w:eastAsia="Arial" w:hAnsi="Arial"/>
          <w:sz w:val="21"/>
          <w:szCs w:val="21"/>
          <w:u w:val="single" w:color="auto"/>
          <w:color w:val="auto"/>
        </w:rPr>
        <w:t>Disclosable Interests</w:t>
      </w:r>
      <w:r>
        <w:rPr>
          <w:rFonts w:ascii="Arial" w:cs="Arial" w:eastAsia="Arial" w:hAnsi="Arial"/>
          <w:sz w:val="21"/>
          <w:szCs w:val="21"/>
          <w:color w:val="auto"/>
        </w:rPr>
        <w:t xml:space="preserve">”); </w:t>
      </w:r>
      <w:r>
        <w:rPr>
          <w:rFonts w:ascii="Arial" w:cs="Arial" w:eastAsia="Arial" w:hAnsi="Arial"/>
          <w:sz w:val="21"/>
          <w:szCs w:val="21"/>
          <w:i w:val="1"/>
          <w:iCs w:val="1"/>
          <w:u w:val="single" w:color="auto"/>
          <w:color w:val="auto"/>
        </w:rPr>
        <w:t>provided</w:t>
      </w:r>
      <w:r>
        <w:rPr>
          <w:rFonts w:ascii="Arial" w:cs="Arial" w:eastAsia="Arial" w:hAnsi="Arial"/>
          <w:sz w:val="21"/>
          <w:szCs w:val="21"/>
          <w:color w:val="auto"/>
        </w:rPr>
        <w:t>, however,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spacing w:after="0" w:line="183" w:lineRule="exact"/>
        <w:rPr>
          <w:sz w:val="20"/>
          <w:szCs w:val="20"/>
          <w:color w:val="auto"/>
        </w:rPr>
      </w:pPr>
    </w:p>
    <w:p>
      <w:pPr>
        <w:jc w:val="both"/>
        <w:ind w:left="1300" w:firstLine="652"/>
        <w:spacing w:after="0" w:line="284" w:lineRule="auto"/>
        <w:tabs>
          <w:tab w:leader="none" w:pos="2576" w:val="left"/>
        </w:tabs>
        <w:numPr>
          <w:ilvl w:val="1"/>
          <w:numId w:val="11"/>
        </w:numPr>
        <w:rPr>
          <w:rFonts w:ascii="Arial" w:cs="Arial" w:eastAsia="Arial" w:hAnsi="Arial"/>
          <w:sz w:val="19"/>
          <w:szCs w:val="19"/>
          <w:color w:val="auto"/>
        </w:rPr>
      </w:pPr>
      <w:r>
        <w:rPr>
          <w:rFonts w:ascii="Arial" w:cs="Arial" w:eastAsia="Arial" w:hAnsi="Arial"/>
          <w:sz w:val="19"/>
          <w:szCs w:val="19"/>
          <w:color w:val="auto"/>
        </w:rPr>
        <w:t>As to each item of business that the stockholder proposes to bring before the annual meeting, (A) a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 in the event that such business includes a proposal to amend the bylaws of the Corporation, the language of the proposed amendment), (C) a reasonably detailed description of all agreements, arrangements and understandings (x) between or among any of the Proposing Persons or (y) between or among any Proposing Person and any other person or entity (including their names) in connection with the proposal of such business by such stockholder and</w:t>
      </w:r>
    </w:p>
    <w:p>
      <w:pPr>
        <w:spacing w:after="0" w:line="1" w:lineRule="exact"/>
        <w:rPr>
          <w:rFonts w:ascii="Arial" w:cs="Arial" w:eastAsia="Arial" w:hAnsi="Arial"/>
          <w:sz w:val="19"/>
          <w:szCs w:val="19"/>
          <w:color w:val="auto"/>
        </w:rPr>
      </w:pPr>
    </w:p>
    <w:p>
      <w:pPr>
        <w:jc w:val="both"/>
        <w:ind w:left="1300" w:firstLine="4"/>
        <w:spacing w:after="0" w:line="290" w:lineRule="auto"/>
        <w:tabs>
          <w:tab w:leader="none" w:pos="1684" w:val="left"/>
        </w:tabs>
        <w:numPr>
          <w:ilvl w:val="0"/>
          <w:numId w:val="12"/>
        </w:numPr>
        <w:rPr>
          <w:rFonts w:ascii="Arial" w:cs="Arial" w:eastAsia="Arial" w:hAnsi="Arial"/>
          <w:sz w:val="19"/>
          <w:szCs w:val="19"/>
          <w:color w:val="auto"/>
        </w:rPr>
      </w:pPr>
      <w:r>
        <w:rPr>
          <w:rFonts w:ascii="Arial" w:cs="Arial" w:eastAsia="Arial" w:hAnsi="Arial"/>
          <w:sz w:val="19"/>
          <w:szCs w:val="19"/>
          <w:color w:val="auto"/>
        </w:rPr>
        <w:t xml:space="preserve">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however, that the disclosures required by this paragraph (c)(iii)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153" w:lineRule="exact"/>
        <w:rPr>
          <w:sz w:val="20"/>
          <w:szCs w:val="20"/>
          <w:color w:val="auto"/>
        </w:rPr>
      </w:pPr>
    </w:p>
    <w:p>
      <w:pPr>
        <w:jc w:val="both"/>
        <w:ind w:firstLine="1304"/>
        <w:spacing w:after="0" w:line="248" w:lineRule="auto"/>
        <w:tabs>
          <w:tab w:leader="none" w:pos="1894" w:val="left"/>
        </w:tabs>
        <w:numPr>
          <w:ilvl w:val="0"/>
          <w:numId w:val="13"/>
        </w:numPr>
        <w:rPr>
          <w:rFonts w:ascii="Arial" w:cs="Arial" w:eastAsia="Arial" w:hAnsi="Arial"/>
          <w:sz w:val="22"/>
          <w:szCs w:val="22"/>
          <w:color w:val="auto"/>
        </w:rPr>
      </w:pPr>
      <w:r>
        <w:rPr>
          <w:rFonts w:ascii="Arial" w:cs="Arial" w:eastAsia="Arial" w:hAnsi="Arial"/>
          <w:sz w:val="22"/>
          <w:szCs w:val="22"/>
          <w:color w:val="auto"/>
        </w:rPr>
        <w:t>For purposes of this Section 2.4, the term “</w:t>
      </w:r>
      <w:r>
        <w:rPr>
          <w:rFonts w:ascii="Arial" w:cs="Arial" w:eastAsia="Arial" w:hAnsi="Arial"/>
          <w:sz w:val="22"/>
          <w:szCs w:val="22"/>
          <w:u w:val="single" w:color="auto"/>
          <w:color w:val="auto"/>
        </w:rPr>
        <w:t>Proposing Person</w:t>
      </w:r>
      <w:r>
        <w:rPr>
          <w:rFonts w:ascii="Arial" w:cs="Arial" w:eastAsia="Arial" w:hAnsi="Arial"/>
          <w:sz w:val="22"/>
          <w:szCs w:val="22"/>
          <w:color w:val="auto"/>
        </w:rPr>
        <w:t>” shall mean (i) the stockholder of record providing the notice of business proposed to be brought before an annual meeting, (ii) the beneficial owner or beneficial owners, if different, on whose behalf the notice of the business proposed to be brought before the annual meeting is made, and (iii) any participant (as defined in paragraphs (a)(ii)-(vi) of Instruction 3 to Item 4 of Schedule 14A) with such stockholder in such solicitation.</w:t>
      </w:r>
    </w:p>
    <w:p>
      <w:pPr>
        <w:spacing w:after="0" w:line="191" w:lineRule="exact"/>
        <w:rPr>
          <w:rFonts w:ascii="Arial" w:cs="Arial" w:eastAsia="Arial" w:hAnsi="Arial"/>
          <w:sz w:val="22"/>
          <w:szCs w:val="22"/>
          <w:color w:val="auto"/>
        </w:rPr>
      </w:pPr>
    </w:p>
    <w:p>
      <w:pPr>
        <w:jc w:val="both"/>
        <w:ind w:firstLine="1304"/>
        <w:spacing w:after="0" w:line="265" w:lineRule="auto"/>
        <w:tabs>
          <w:tab w:leader="none" w:pos="1894" w:val="left"/>
        </w:tabs>
        <w:numPr>
          <w:ilvl w:val="0"/>
          <w:numId w:val="13"/>
        </w:numPr>
        <w:rPr>
          <w:rFonts w:ascii="Arial" w:cs="Arial" w:eastAsia="Arial" w:hAnsi="Arial"/>
          <w:sz w:val="21"/>
          <w:szCs w:val="21"/>
          <w:color w:val="auto"/>
        </w:rPr>
      </w:pPr>
      <w:r>
        <w:rPr>
          <w:rFonts w:ascii="Arial" w:cs="Arial" w:eastAsia="Arial" w:hAnsi="Arial"/>
          <w:sz w:val="21"/>
          <w:szCs w:val="21"/>
          <w:color w:val="auto"/>
        </w:rPr>
        <w:t>A Proposing Person shall update and supplement its notice to the Corporation of its intent to propose business at an annual meeting, if necessary, so that the information provided or required to be provided in such notice pursuant to this Section 2.4 shall be true and correct as of the record date for stockholders entitled to vote at the meeting and as of the date that is ten (10) business days prior to the meeting or any adjournment or postponement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21" w:name="page22"/>
    <w:bookmarkEnd w:id="21"/>
    <w:p>
      <w:pPr>
        <w:jc w:val="both"/>
        <w:spacing w:after="0" w:line="288" w:lineRule="auto"/>
        <w:rPr>
          <w:sz w:val="20"/>
          <w:szCs w:val="20"/>
          <w:color w:val="auto"/>
        </w:rPr>
      </w:pPr>
      <w:r>
        <w:rPr>
          <w:rFonts w:ascii="Arial" w:cs="Arial" w:eastAsia="Arial" w:hAnsi="Arial"/>
          <w:sz w:val="19"/>
          <w:szCs w:val="19"/>
          <w:color w:val="auto"/>
        </w:rPr>
        <w:t>thereof, and such update and supplement shall be delivered to, or mailed and received by, the secretary of the Corporation at the principal executive offices of the Corporation not later than five (5) business days after the record date for stockholders entitled to vote at the meeting (in the case of the update and supplement required to be made as of such record date), and not later than eight</w:t>
      </w:r>
    </w:p>
    <w:p>
      <w:pPr>
        <w:spacing w:after="0" w:line="1" w:lineRule="exact"/>
        <w:rPr>
          <w:sz w:val="20"/>
          <w:szCs w:val="20"/>
          <w:color w:val="auto"/>
        </w:rPr>
      </w:pPr>
    </w:p>
    <w:p>
      <w:pPr>
        <w:jc w:val="both"/>
        <w:ind w:firstLine="8"/>
        <w:spacing w:after="0" w:line="287" w:lineRule="auto"/>
        <w:tabs>
          <w:tab w:leader="none" w:pos="342" w:val="left"/>
        </w:tabs>
        <w:numPr>
          <w:ilvl w:val="0"/>
          <w:numId w:val="14"/>
        </w:numPr>
        <w:rPr>
          <w:rFonts w:ascii="Arial" w:cs="Arial" w:eastAsia="Arial" w:hAnsi="Arial"/>
          <w:sz w:val="19"/>
          <w:szCs w:val="19"/>
          <w:color w:val="auto"/>
        </w:rPr>
      </w:pPr>
      <w:r>
        <w:rPr>
          <w:rFonts w:ascii="Arial" w:cs="Arial" w:eastAsia="Arial" w:hAnsi="Arial"/>
          <w:sz w:val="19"/>
          <w:szCs w:val="19"/>
          <w:color w:val="auto"/>
        </w:rPr>
        <w:t>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w:t>
      </w:r>
    </w:p>
    <w:p>
      <w:pPr>
        <w:spacing w:after="0" w:line="159" w:lineRule="exact"/>
        <w:rPr>
          <w:rFonts w:ascii="Arial" w:cs="Arial" w:eastAsia="Arial" w:hAnsi="Arial"/>
          <w:sz w:val="19"/>
          <w:szCs w:val="19"/>
          <w:color w:val="auto"/>
        </w:rPr>
      </w:pPr>
    </w:p>
    <w:p>
      <w:pPr>
        <w:jc w:val="both"/>
        <w:ind w:firstLine="1304"/>
        <w:spacing w:after="0" w:line="247" w:lineRule="auto"/>
        <w:tabs>
          <w:tab w:leader="none" w:pos="1762" w:val="left"/>
        </w:tabs>
        <w:numPr>
          <w:ilvl w:val="1"/>
          <w:numId w:val="14"/>
        </w:numPr>
        <w:rPr>
          <w:rFonts w:ascii="Arial" w:cs="Arial" w:eastAsia="Arial" w:hAnsi="Arial"/>
          <w:sz w:val="22"/>
          <w:szCs w:val="22"/>
          <w:color w:val="auto"/>
        </w:rPr>
      </w:pPr>
      <w:r>
        <w:rPr>
          <w:rFonts w:ascii="Arial" w:cs="Arial" w:eastAsia="Arial" w:hAnsi="Arial"/>
          <w:sz w:val="22"/>
          <w:szCs w:val="22"/>
          <w:color w:val="auto"/>
        </w:rPr>
        <w:t>Notwithstanding anything in these bylaws to the contrary and except as otherwise expressly provided in any applicable rule or regulation promulgated under the Exchange Act, no business shall be conducted at an annual meeting that is not properly brought before the meeting in accordance with this Section 2.4. The person presiding over the meeting shall, if the facts warrant, determine that the business was not properly brought before the meeting in accordance with this Section 2.4, and if he or she should so determine, he or she shall so declare to the meeting and any such business not properly brought before the meeting shall not be transacted.</w:t>
      </w:r>
    </w:p>
    <w:p>
      <w:pPr>
        <w:spacing w:after="0" w:line="192" w:lineRule="exact"/>
        <w:rPr>
          <w:rFonts w:ascii="Arial" w:cs="Arial" w:eastAsia="Arial" w:hAnsi="Arial"/>
          <w:sz w:val="22"/>
          <w:szCs w:val="22"/>
          <w:color w:val="auto"/>
        </w:rPr>
      </w:pPr>
    </w:p>
    <w:p>
      <w:pPr>
        <w:jc w:val="both"/>
        <w:ind w:firstLine="1304"/>
        <w:spacing w:after="0" w:line="288" w:lineRule="auto"/>
        <w:tabs>
          <w:tab w:leader="none" w:pos="1858" w:val="left"/>
        </w:tabs>
        <w:numPr>
          <w:ilvl w:val="1"/>
          <w:numId w:val="14"/>
        </w:numPr>
        <w:rPr>
          <w:rFonts w:ascii="Arial" w:cs="Arial" w:eastAsia="Arial" w:hAnsi="Arial"/>
          <w:sz w:val="19"/>
          <w:szCs w:val="19"/>
          <w:color w:val="auto"/>
        </w:rPr>
      </w:pPr>
      <w:r>
        <w:rPr>
          <w:rFonts w:ascii="Arial" w:cs="Arial" w:eastAsia="Arial" w:hAnsi="Arial"/>
          <w:sz w:val="19"/>
          <w:szCs w:val="19"/>
          <w:color w:val="auto"/>
        </w:rPr>
        <w:t>This Section 2.4 is expressly intended to apply to any business proposed to be brought before an annual meeting of stockholders, other than any proposal made in accordance with Rule 14a-8 under the Exchange Act and included in the Corporation’s proxy statement. In addition to the requirements of this Section 2.4 with respect to any business proposed to be brought before an annual meeting, each Proposing Person shall comply with all applicable requirements of the Exchange Act with respect to any such business. The foregoing notice requirements of this Section 2.4 shall be deemed satisfied by a stockholder with respect to business other than a nomination if the stockholder has notified the Corporation of his, her or its intention to present a proposal at an annual meeting in compliance with applicable rules and regulations promulgated under the Exchange Act and such stockholder’s proposal has been included in a proxy statement that has been prepared by the Corporation to solicit proxies for such annual meeting. Nothing in this Section 2.4 shall be deemed to affect the rights of stockholders to request inclusion of proposals in the Corporation’s proxy statement pursuant to Rule 14a-8 under the Exchange Act.</w:t>
      </w:r>
    </w:p>
    <w:p>
      <w:pPr>
        <w:spacing w:after="0" w:line="159" w:lineRule="exact"/>
        <w:rPr>
          <w:rFonts w:ascii="Arial" w:cs="Arial" w:eastAsia="Arial" w:hAnsi="Arial"/>
          <w:sz w:val="19"/>
          <w:szCs w:val="19"/>
          <w:color w:val="auto"/>
        </w:rPr>
      </w:pPr>
    </w:p>
    <w:p>
      <w:pPr>
        <w:jc w:val="both"/>
        <w:ind w:firstLine="1304"/>
        <w:spacing w:after="0" w:line="253" w:lineRule="auto"/>
        <w:tabs>
          <w:tab w:leader="none" w:pos="1872" w:val="left"/>
        </w:tabs>
        <w:numPr>
          <w:ilvl w:val="1"/>
          <w:numId w:val="14"/>
        </w:numPr>
        <w:rPr>
          <w:rFonts w:ascii="Arial" w:cs="Arial" w:eastAsia="Arial" w:hAnsi="Arial"/>
          <w:sz w:val="22"/>
          <w:szCs w:val="22"/>
          <w:color w:val="auto"/>
        </w:rPr>
      </w:pPr>
      <w:r>
        <w:rPr>
          <w:rFonts w:ascii="Arial" w:cs="Arial" w:eastAsia="Arial" w:hAnsi="Arial"/>
          <w:sz w:val="22"/>
          <w:szCs w:val="22"/>
          <w:color w:val="auto"/>
        </w:rPr>
        <w:t>For purposes of these bylaws, “</w:t>
      </w:r>
      <w:r>
        <w:rPr>
          <w:rFonts w:ascii="Arial" w:cs="Arial" w:eastAsia="Arial" w:hAnsi="Arial"/>
          <w:sz w:val="22"/>
          <w:szCs w:val="22"/>
          <w:u w:val="single" w:color="auto"/>
          <w:color w:val="auto"/>
        </w:rPr>
        <w:t>public disclosure</w:t>
      </w:r>
      <w:r>
        <w:rPr>
          <w:rFonts w:ascii="Arial" w:cs="Arial" w:eastAsia="Arial" w:hAnsi="Arial"/>
          <w:sz w:val="22"/>
          <w:szCs w:val="22"/>
          <w:color w:val="auto"/>
        </w:rPr>
        <w:t>” shall mean disclosure in a press release reported by a national news service or in a document publicly filed by the Corporation with the Securities and Exchange Commission pursuant to Sections 13, 14 or 15(d)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22" w:name="page23"/>
    <w:bookmarkEnd w:id="22"/>
    <w:p>
      <w:pPr>
        <w:ind w:left="660"/>
        <w:spacing w:after="0"/>
        <w:tabs>
          <w:tab w:leader="none" w:pos="112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color w:val="auto"/>
        </w:rPr>
        <w:t>ADVANCE NOTICE PROCEDURES FOR NOMINATIONS OF DIRECTORS.</w:t>
      </w:r>
    </w:p>
    <w:p>
      <w:pPr>
        <w:spacing w:after="0" w:line="220" w:lineRule="exact"/>
        <w:rPr>
          <w:sz w:val="20"/>
          <w:szCs w:val="20"/>
          <w:color w:val="auto"/>
        </w:rPr>
      </w:pPr>
    </w:p>
    <w:p>
      <w:pPr>
        <w:jc w:val="both"/>
        <w:ind w:firstLine="1304"/>
        <w:spacing w:after="0" w:line="285" w:lineRule="auto"/>
        <w:tabs>
          <w:tab w:leader="none" w:pos="1785" w:val="left"/>
        </w:tabs>
        <w:numPr>
          <w:ilvl w:val="0"/>
          <w:numId w:val="15"/>
        </w:numPr>
        <w:rPr>
          <w:rFonts w:ascii="Arial" w:cs="Arial" w:eastAsia="Arial" w:hAnsi="Arial"/>
          <w:sz w:val="19"/>
          <w:szCs w:val="19"/>
          <w:color w:val="auto"/>
        </w:rPr>
      </w:pPr>
      <w:r>
        <w:rPr>
          <w:rFonts w:ascii="Arial" w:cs="Arial" w:eastAsia="Arial" w:hAnsi="Arial"/>
          <w:sz w:val="19"/>
          <w:szCs w:val="19"/>
          <w:color w:val="auto"/>
        </w:rPr>
        <w:t>Nominations of any person for election to the Board at an annual meeting or, if the election of directors is a matter specified in any notice of special meeting given by or at the direction of the person calling such meeting pursuant to Section 2.3 of these bylaws, at a special meeting, may be made at such meeting only (i) by or at the direction of the Board, including by any committee of the Board or persons duly authorized to do so by the Board or these bylaws, or (ii) by a stockholder present in person who (A) was a record owner of shares of the Corporation both at the time of giving the notice provided for in this Section 2.5 and at the time of the meeting, (B) is entitled to vote at the meeting and (C) has complied with this Section 2.5 as to such notice and nomination. Unless otherwise required by law, if the stockholder is not present in person to present a nomination, such nomination shall be disregarded, notwithstanding that proxies in respect of such vote may have been received by the Corporation. The foregoing clause (ii) of this Section 2.5(a) shall be the exclusive means for a stockholder to make any nomination of a person or persons for election to the Board at any meeting of stockholders. For purposes of this Section 2.5, “</w:t>
      </w:r>
      <w:r>
        <w:rPr>
          <w:rFonts w:ascii="Arial" w:cs="Arial" w:eastAsia="Arial" w:hAnsi="Arial"/>
          <w:sz w:val="19"/>
          <w:szCs w:val="19"/>
          <w:u w:val="single" w:color="auto"/>
          <w:color w:val="auto"/>
        </w:rPr>
        <w:t>present in person</w:t>
      </w:r>
      <w:r>
        <w:rPr>
          <w:rFonts w:ascii="Arial" w:cs="Arial" w:eastAsia="Arial" w:hAnsi="Arial"/>
          <w:sz w:val="19"/>
          <w:szCs w:val="19"/>
          <w:color w:val="auto"/>
        </w:rPr>
        <w:t>” shall mean that the stockholder proposing that the business be brought before the annual meeting of the Corporation, or a qualified representative of such proposing stockholder, appear at such annual meeting. A “</w:t>
      </w:r>
      <w:r>
        <w:rPr>
          <w:rFonts w:ascii="Arial" w:cs="Arial" w:eastAsia="Arial" w:hAnsi="Arial"/>
          <w:sz w:val="19"/>
          <w:szCs w:val="19"/>
          <w:u w:val="single" w:color="auto"/>
          <w:color w:val="auto"/>
        </w:rPr>
        <w:t>qualified</w:t>
      </w:r>
      <w:r>
        <w:rPr>
          <w:rFonts w:ascii="Arial" w:cs="Arial" w:eastAsia="Arial" w:hAnsi="Arial"/>
          <w:sz w:val="19"/>
          <w:szCs w:val="19"/>
          <w:color w:val="auto"/>
        </w:rPr>
        <w:t xml:space="preserve"> </w:t>
      </w:r>
      <w:r>
        <w:rPr>
          <w:rFonts w:ascii="Arial" w:cs="Arial" w:eastAsia="Arial" w:hAnsi="Arial"/>
          <w:sz w:val="19"/>
          <w:szCs w:val="19"/>
          <w:u w:val="single" w:color="auto"/>
          <w:color w:val="auto"/>
        </w:rPr>
        <w:t>representative</w:t>
      </w:r>
      <w:r>
        <w:rPr>
          <w:rFonts w:ascii="Arial" w:cs="Arial" w:eastAsia="Arial" w:hAnsi="Arial"/>
          <w:sz w:val="19"/>
          <w:szCs w:val="19"/>
          <w:color w:val="auto"/>
        </w:rPr>
        <w:t>”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such meeting of stockholders.</w:t>
      </w:r>
    </w:p>
    <w:p>
      <w:pPr>
        <w:spacing w:after="0" w:line="168" w:lineRule="exact"/>
        <w:rPr>
          <w:rFonts w:ascii="Arial" w:cs="Arial" w:eastAsia="Arial" w:hAnsi="Arial"/>
          <w:sz w:val="19"/>
          <w:szCs w:val="19"/>
          <w:color w:val="auto"/>
        </w:rPr>
      </w:pPr>
    </w:p>
    <w:p>
      <w:pPr>
        <w:jc w:val="both"/>
        <w:ind w:firstLine="1304"/>
        <w:spacing w:after="0" w:line="263" w:lineRule="auto"/>
        <w:tabs>
          <w:tab w:leader="none" w:pos="1781" w:val="left"/>
        </w:tabs>
        <w:numPr>
          <w:ilvl w:val="0"/>
          <w:numId w:val="15"/>
        </w:numPr>
        <w:rPr>
          <w:rFonts w:ascii="Arial" w:cs="Arial" w:eastAsia="Arial" w:hAnsi="Arial"/>
          <w:sz w:val="21"/>
          <w:szCs w:val="21"/>
          <w:color w:val="auto"/>
        </w:rPr>
      </w:pPr>
      <w:r>
        <w:rPr>
          <w:rFonts w:ascii="Arial" w:cs="Arial" w:eastAsia="Arial" w:hAnsi="Arial"/>
          <w:sz w:val="21"/>
          <w:szCs w:val="21"/>
          <w:color w:val="auto"/>
        </w:rPr>
        <w:t>(i) Without qualification, for a stockholder to make any nomination of a person or persons for election to the Board at an annual meeting, the stockholder must (A) provide Timely Notice (as defined in Section 2.4(b) of these bylaws) thereof in writing and in proper form to the secretary of the Corporation, (B) provide the information, agreements and questionnaires with respect to such stockholder and its proposed nominee as required by this Section 2.5, and (C) provide any updates or supplements to such notice at the times and in the forms required by this Section 2.5.</w:t>
      </w:r>
    </w:p>
    <w:p>
      <w:pPr>
        <w:spacing w:after="0" w:line="175" w:lineRule="exact"/>
        <w:rPr>
          <w:sz w:val="20"/>
          <w:szCs w:val="20"/>
          <w:color w:val="auto"/>
        </w:rPr>
      </w:pPr>
    </w:p>
    <w:p>
      <w:pPr>
        <w:jc w:val="both"/>
        <w:ind w:firstLine="1304"/>
        <w:spacing w:after="0" w:line="289" w:lineRule="auto"/>
        <w:tabs>
          <w:tab w:leader="none" w:pos="1808" w:val="left"/>
        </w:tabs>
        <w:numPr>
          <w:ilvl w:val="0"/>
          <w:numId w:val="16"/>
        </w:numPr>
        <w:rPr>
          <w:rFonts w:ascii="Arial" w:cs="Arial" w:eastAsia="Arial" w:hAnsi="Arial"/>
          <w:sz w:val="19"/>
          <w:szCs w:val="19"/>
          <w:color w:val="auto"/>
        </w:rPr>
      </w:pPr>
      <w:r>
        <w:rPr>
          <w:rFonts w:ascii="Arial" w:cs="Arial" w:eastAsia="Arial" w:hAnsi="Arial"/>
          <w:sz w:val="19"/>
          <w:szCs w:val="19"/>
          <w:color w:val="auto"/>
        </w:rPr>
        <w:t>Without qualification, if the election of directors is a matter specified in the notice of special meeting given by or at the direction of the person calling such special meeting pursuant to Section 2.3 of these bylaws, then for a stockholder to make any nomination of a person or persons for election to such position(s) as specified in the notice of the special meeting, the stockholder must (A) provide timely notice thereof in writing and in proper form to the secretary of the Corporation at the principal executive offices of the Corporation, (B) provide the information, agreements and questionnaires with respect to such stockholder and its proposed nominee as required by this Section 2.5, and (C) provide any updates or supplements to such notice at the times and in the forms required by this Section 2.5. To be timely, a stockholder’s notice for nominations to be made at a special meeting must be delivered to, or mailed and received by the secretary of the Corporation at, the principal executive offices of the Corporation not earlier than the close of business on the one hundred twentieth (120</w:t>
      </w:r>
      <w:r>
        <w:rPr>
          <w:rFonts w:ascii="Arial" w:cs="Arial" w:eastAsia="Arial" w:hAnsi="Arial"/>
          <w:sz w:val="25"/>
          <w:szCs w:val="25"/>
          <w:color w:val="auto"/>
          <w:vertAlign w:val="superscript"/>
        </w:rPr>
        <w:t>th</w:t>
      </w:r>
      <w:r>
        <w:rPr>
          <w:rFonts w:ascii="Arial" w:cs="Arial" w:eastAsia="Arial" w:hAnsi="Arial"/>
          <w:sz w:val="19"/>
          <w:szCs w:val="19"/>
          <w:color w:val="auto"/>
        </w:rPr>
        <w:t>) day prior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23" w:name="page24"/>
    <w:bookmarkEnd w:id="23"/>
    <w:p>
      <w:pPr>
        <w:jc w:val="both"/>
        <w:ind w:right="20"/>
        <w:spacing w:after="0" w:line="212" w:lineRule="auto"/>
        <w:rPr>
          <w:sz w:val="20"/>
          <w:szCs w:val="20"/>
          <w:color w:val="auto"/>
        </w:rPr>
      </w:pPr>
      <w:r>
        <w:rPr>
          <w:rFonts w:ascii="Arial" w:cs="Arial" w:eastAsia="Arial" w:hAnsi="Arial"/>
          <w:sz w:val="22"/>
          <w:szCs w:val="22"/>
          <w:color w:val="auto"/>
        </w:rPr>
        <w:t>special meeting and not later than the later of the close of business on the ninetieth (90</w:t>
      </w:r>
      <w:r>
        <w:rPr>
          <w:rFonts w:ascii="Arial" w:cs="Arial" w:eastAsia="Arial" w:hAnsi="Arial"/>
          <w:sz w:val="28"/>
          <w:szCs w:val="28"/>
          <w:color w:val="auto"/>
          <w:vertAlign w:val="superscript"/>
        </w:rPr>
        <w:t>th</w:t>
      </w:r>
      <w:r>
        <w:rPr>
          <w:rFonts w:ascii="Arial" w:cs="Arial" w:eastAsia="Arial" w:hAnsi="Arial"/>
          <w:sz w:val="22"/>
          <w:szCs w:val="22"/>
          <w:color w:val="auto"/>
        </w:rPr>
        <w:t>) day prior to such special meeting and the close of business on the tenth (10</w:t>
      </w:r>
      <w:r>
        <w:rPr>
          <w:rFonts w:ascii="Arial" w:cs="Arial" w:eastAsia="Arial" w:hAnsi="Arial"/>
          <w:sz w:val="28"/>
          <w:szCs w:val="28"/>
          <w:color w:val="auto"/>
          <w:vertAlign w:val="superscript"/>
        </w:rPr>
        <w:t>th</w:t>
      </w:r>
      <w:r>
        <w:rPr>
          <w:rFonts w:ascii="Arial" w:cs="Arial" w:eastAsia="Arial" w:hAnsi="Arial"/>
          <w:sz w:val="22"/>
          <w:szCs w:val="22"/>
          <w:color w:val="auto"/>
        </w:rPr>
        <w:t>) day following the day on which public disclosure (as defined in Section 2.4(h) of these bylaws) of the date of such special meeting was first made.</w:t>
      </w:r>
    </w:p>
    <w:p>
      <w:pPr>
        <w:spacing w:after="0" w:line="201" w:lineRule="exact"/>
        <w:rPr>
          <w:sz w:val="20"/>
          <w:szCs w:val="20"/>
          <w:color w:val="auto"/>
        </w:rPr>
      </w:pPr>
    </w:p>
    <w:p>
      <w:pPr>
        <w:jc w:val="both"/>
        <w:ind w:firstLine="1304"/>
        <w:spacing w:after="0" w:line="253" w:lineRule="auto"/>
        <w:tabs>
          <w:tab w:leader="none" w:pos="2011" w:val="left"/>
        </w:tabs>
        <w:numPr>
          <w:ilvl w:val="0"/>
          <w:numId w:val="17"/>
        </w:numPr>
        <w:rPr>
          <w:rFonts w:ascii="Arial" w:cs="Arial" w:eastAsia="Arial" w:hAnsi="Arial"/>
          <w:sz w:val="22"/>
          <w:szCs w:val="22"/>
          <w:color w:val="auto"/>
        </w:rPr>
      </w:pPr>
      <w:r>
        <w:rPr>
          <w:rFonts w:ascii="Arial" w:cs="Arial" w:eastAsia="Arial" w:hAnsi="Arial"/>
          <w:sz w:val="22"/>
          <w:szCs w:val="22"/>
          <w:color w:val="auto"/>
        </w:rPr>
        <w:t>In no event shall any adjournment or postponement of an annual meeting or special meeting or the announcement thereof commence a new time period (or extend any time period) for the giving of a stockholder’s notice as described above.</w:t>
      </w:r>
    </w:p>
    <w:p>
      <w:pPr>
        <w:spacing w:after="0" w:line="185" w:lineRule="exact"/>
        <w:rPr>
          <w:rFonts w:ascii="Arial" w:cs="Arial" w:eastAsia="Arial" w:hAnsi="Arial"/>
          <w:sz w:val="22"/>
          <w:szCs w:val="22"/>
          <w:color w:val="auto"/>
        </w:rPr>
      </w:pPr>
    </w:p>
    <w:p>
      <w:pPr>
        <w:jc w:val="both"/>
        <w:ind w:firstLine="1304"/>
        <w:spacing w:after="0" w:line="287" w:lineRule="auto"/>
        <w:tabs>
          <w:tab w:leader="none" w:pos="1841" w:val="left"/>
        </w:tabs>
        <w:numPr>
          <w:ilvl w:val="0"/>
          <w:numId w:val="17"/>
        </w:numPr>
        <w:rPr>
          <w:rFonts w:ascii="Arial" w:cs="Arial" w:eastAsia="Arial" w:hAnsi="Arial"/>
          <w:sz w:val="19"/>
          <w:szCs w:val="19"/>
          <w:color w:val="auto"/>
        </w:rPr>
      </w:pPr>
      <w:r>
        <w:rPr>
          <w:rFonts w:ascii="Arial" w:cs="Arial" w:eastAsia="Arial" w:hAnsi="Arial"/>
          <w:sz w:val="19"/>
          <w:szCs w:val="19"/>
          <w:color w:val="auto"/>
        </w:rPr>
        <w:t xml:space="preserve">In no event may a Nominating Person (as defined below) provide notice with respect to a greater number of director candidates than are subject to election by stockholders at the applicable meeting;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the Nominating Person is giving the notice on behalf of a beneficial owner, the foregoing clause shall mean that the number of director candidates a Nominating Stockholder may nominate for election at the annual meeting on behalf of any beneficial owner shall not be greater than the number of director candidates that are subject to election by stockholders at the applicable meeting. If the Corporation shall, subsequent to any notice given by a Nominating Person pursuant to the foregoing paragraphs (i) or (ii) of this Section 2.5(b), increase the number of directors subject to election at the applicable meeting, such notice as to any additional nominees shall be due on the later of (x) the conclusion of the time period for providing Timely Notice (if such notice is being given pursuant to paragraph (i) of this Section 2.5(b)) or the conclusion of the time period specified in paragraph (ii) of this Section 2.5(b) (if such notice is being given pursuant to such paragraph) and (y) the tenth (10th) day following the date of public disclosure (as defined in Section 2.4(h) of these bylaws) of such increase.</w:t>
      </w:r>
    </w:p>
    <w:p>
      <w:pPr>
        <w:spacing w:after="0" w:line="163" w:lineRule="exact"/>
        <w:rPr>
          <w:sz w:val="20"/>
          <w:szCs w:val="20"/>
          <w:color w:val="auto"/>
        </w:rPr>
      </w:pPr>
    </w:p>
    <w:p>
      <w:pPr>
        <w:ind w:right="20" w:firstLine="1304"/>
        <w:spacing w:after="0" w:line="263" w:lineRule="auto"/>
        <w:tabs>
          <w:tab w:leader="none" w:pos="1929" w:val="left"/>
        </w:tabs>
        <w:numPr>
          <w:ilvl w:val="0"/>
          <w:numId w:val="18"/>
        </w:numPr>
        <w:rPr>
          <w:rFonts w:ascii="Arial" w:cs="Arial" w:eastAsia="Arial" w:hAnsi="Arial"/>
          <w:sz w:val="22"/>
          <w:szCs w:val="22"/>
          <w:color w:val="auto"/>
        </w:rPr>
      </w:pPr>
      <w:r>
        <w:rPr>
          <w:rFonts w:ascii="Arial" w:cs="Arial" w:eastAsia="Arial" w:hAnsi="Arial"/>
          <w:sz w:val="22"/>
          <w:szCs w:val="22"/>
          <w:color w:val="auto"/>
        </w:rPr>
        <w:t>To be in proper form for purposes of this Section 2.5, a stockholder’s notice to the secretary of the Corporation shall set forth:</w:t>
      </w:r>
    </w:p>
    <w:p>
      <w:pPr>
        <w:spacing w:after="0" w:line="174" w:lineRule="exact"/>
        <w:rPr>
          <w:rFonts w:ascii="Arial" w:cs="Arial" w:eastAsia="Arial" w:hAnsi="Arial"/>
          <w:sz w:val="22"/>
          <w:szCs w:val="22"/>
          <w:color w:val="auto"/>
        </w:rPr>
      </w:pPr>
    </w:p>
    <w:p>
      <w:pPr>
        <w:jc w:val="both"/>
        <w:ind w:left="1300" w:firstLine="652"/>
        <w:spacing w:after="0" w:line="253" w:lineRule="auto"/>
        <w:tabs>
          <w:tab w:leader="none" w:pos="2410" w:val="left"/>
        </w:tabs>
        <w:numPr>
          <w:ilvl w:val="1"/>
          <w:numId w:val="18"/>
        </w:numPr>
        <w:rPr>
          <w:rFonts w:ascii="Arial" w:cs="Arial" w:eastAsia="Arial" w:hAnsi="Arial"/>
          <w:sz w:val="22"/>
          <w:szCs w:val="22"/>
          <w:color w:val="auto"/>
        </w:rPr>
      </w:pPr>
      <w:r>
        <w:rPr>
          <w:rFonts w:ascii="Arial" w:cs="Arial" w:eastAsia="Arial" w:hAnsi="Arial"/>
          <w:sz w:val="22"/>
          <w:szCs w:val="22"/>
          <w:color w:val="auto"/>
        </w:rPr>
        <w:t>As to each Nominating Person, the Stockholder Information (as defined in Section 2.4(c)(i) of these bylaws) except that for purposes of this Section 2.5, the term “Nominating Person” shall be substituted for the term “Proposing Person” in all places it appears in Section 2.4(c)(i);</w:t>
      </w:r>
    </w:p>
    <w:p>
      <w:pPr>
        <w:spacing w:after="0" w:line="185" w:lineRule="exact"/>
        <w:rPr>
          <w:rFonts w:ascii="Arial" w:cs="Arial" w:eastAsia="Arial" w:hAnsi="Arial"/>
          <w:sz w:val="22"/>
          <w:szCs w:val="22"/>
          <w:color w:val="auto"/>
        </w:rPr>
      </w:pPr>
    </w:p>
    <w:p>
      <w:pPr>
        <w:jc w:val="both"/>
        <w:ind w:left="1300" w:firstLine="652"/>
        <w:spacing w:after="0" w:line="248" w:lineRule="auto"/>
        <w:tabs>
          <w:tab w:leader="none" w:pos="2509" w:val="left"/>
        </w:tabs>
        <w:numPr>
          <w:ilvl w:val="1"/>
          <w:numId w:val="18"/>
        </w:numPr>
        <w:rPr>
          <w:rFonts w:ascii="Arial" w:cs="Arial" w:eastAsia="Arial" w:hAnsi="Arial"/>
          <w:sz w:val="22"/>
          <w:szCs w:val="22"/>
          <w:color w:val="auto"/>
        </w:rPr>
      </w:pPr>
      <w:r>
        <w:rPr>
          <w:rFonts w:ascii="Arial" w:cs="Arial" w:eastAsia="Arial" w:hAnsi="Arial"/>
          <w:sz w:val="22"/>
          <w:szCs w:val="22"/>
          <w:color w:val="auto"/>
        </w:rPr>
        <w:t>As to each Nominating Person, any Disclosable Interests (as defined in Section 2.4(c)(ii) of these bylaws), except that for purposes of this Section 2.5, the term “Nominating Person” shall be substituted for the term “Proposing Person” in all places it appears in Section 2.4(c)(ii), and the disclosures with respect to the business to be brought before the meeting in Section 2.4(c)(iii) shall be made with respect to the nomination of each person for election as a director at the meeting; and</w:t>
      </w:r>
    </w:p>
    <w:p>
      <w:pPr>
        <w:spacing w:after="0" w:line="191" w:lineRule="exact"/>
        <w:rPr>
          <w:rFonts w:ascii="Arial" w:cs="Arial" w:eastAsia="Arial" w:hAnsi="Arial"/>
          <w:sz w:val="22"/>
          <w:szCs w:val="22"/>
          <w:color w:val="auto"/>
        </w:rPr>
      </w:pPr>
    </w:p>
    <w:p>
      <w:pPr>
        <w:jc w:val="both"/>
        <w:ind w:left="1300" w:firstLine="652"/>
        <w:spacing w:after="0" w:line="250" w:lineRule="auto"/>
        <w:tabs>
          <w:tab w:leader="none" w:pos="2593" w:val="left"/>
        </w:tabs>
        <w:numPr>
          <w:ilvl w:val="1"/>
          <w:numId w:val="18"/>
        </w:numPr>
        <w:rPr>
          <w:rFonts w:ascii="Arial" w:cs="Arial" w:eastAsia="Arial" w:hAnsi="Arial"/>
          <w:sz w:val="22"/>
          <w:szCs w:val="22"/>
          <w:color w:val="auto"/>
        </w:rPr>
      </w:pPr>
      <w:r>
        <w:rPr>
          <w:rFonts w:ascii="Arial" w:cs="Arial" w:eastAsia="Arial" w:hAnsi="Arial"/>
          <w:sz w:val="22"/>
          <w:szCs w:val="22"/>
          <w:color w:val="auto"/>
        </w:rPr>
        <w:t>As to each person whom a Nominating Person proposes to nominate for election as a director, (A) all information with respect to such proposed nominee that would be required to be set forth in a stockholder’s notice pursuant to this Section 2.5 if such proposed nominee were a Nominating Person, (B) all information relating to such proposed nominee that is required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0" w:right="339" w:bottom="1440" w:gutter="0" w:footer="0" w:header="0"/>
        </w:sectPr>
      </w:pPr>
    </w:p>
    <w:bookmarkStart w:id="24" w:name="page25"/>
    <w:bookmarkEnd w:id="24"/>
    <w:p>
      <w:pPr>
        <w:jc w:val="both"/>
        <w:ind w:left="1300"/>
        <w:spacing w:after="0" w:line="287" w:lineRule="auto"/>
        <w:rPr>
          <w:sz w:val="20"/>
          <w:szCs w:val="20"/>
          <w:color w:val="auto"/>
        </w:rPr>
      </w:pPr>
      <w:r>
        <w:rPr>
          <w:rFonts w:ascii="Arial" w:cs="Arial" w:eastAsia="Arial" w:hAnsi="Arial"/>
          <w:sz w:val="19"/>
          <w:szCs w:val="19"/>
          <w:color w:val="auto"/>
        </w:rPr>
        <w:t>disclosed in a proxy statement or other filings required to be made in connection with solicitations of proxies for election of directors in a contested election pursuant to Section 14(a) under the Exchange Act (including such proposed nominee’s written consent to being named in the proxy statement as a nominee and to serving as a director if elected), (C) a description of any direct or indirect material interest in any material contract or agreement between or among any Nominating Person, on the one hand, and each proposed nominee or any other participants in such solicitation, on the other hand, including, without limitation, all information that would be required to be disclosed pursuant to Item 404 under Regulation S-K if such Nominating Person were the “registrant” for purposes of such rule and the proposed nominee were a director or executive officer of such registrant, and (D) a completed and signed questionnaire, representation and agreement as provided in Section 2.5(f), and (E) a written consent of such person to being named in the Corporation’s proxy statement as a nominee of the Nominating Person and to serving as a director if elected; and</w:t>
      </w:r>
    </w:p>
    <w:p>
      <w:pPr>
        <w:spacing w:after="0" w:line="163" w:lineRule="exact"/>
        <w:rPr>
          <w:sz w:val="20"/>
          <w:szCs w:val="20"/>
          <w:color w:val="auto"/>
        </w:rPr>
      </w:pPr>
    </w:p>
    <w:p>
      <w:pPr>
        <w:jc w:val="both"/>
        <w:ind w:left="1300" w:firstLine="652"/>
        <w:spacing w:after="0" w:line="288" w:lineRule="auto"/>
        <w:tabs>
          <w:tab w:leader="none" w:pos="2594" w:val="left"/>
        </w:tabs>
        <w:numPr>
          <w:ilvl w:val="1"/>
          <w:numId w:val="19"/>
        </w:numPr>
        <w:rPr>
          <w:rFonts w:ascii="Arial" w:cs="Arial" w:eastAsia="Arial" w:hAnsi="Arial"/>
          <w:sz w:val="19"/>
          <w:szCs w:val="19"/>
          <w:color w:val="auto"/>
        </w:rPr>
      </w:pPr>
      <w:r>
        <w:rPr>
          <w:rFonts w:ascii="Arial" w:cs="Arial" w:eastAsia="Arial" w:hAnsi="Arial"/>
          <w:sz w:val="19"/>
          <w:szCs w:val="19"/>
          <w:color w:val="auto"/>
        </w:rPr>
        <w:t>The Corporation may require any proposed nominee to furnish such other information (A) as may reasonably be required by the Corporation to determine the eligibility of such proposed nominee to serve as an independent director of the Corporation in accordance with the Corporation’s Corporate Governance Guidelines or</w:t>
      </w:r>
    </w:p>
    <w:p>
      <w:pPr>
        <w:ind w:left="1300" w:right="20" w:firstLine="4"/>
        <w:spacing w:after="0" w:line="246" w:lineRule="auto"/>
        <w:tabs>
          <w:tab w:leader="none" w:pos="1721"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that could be material to a reasonable stockholder’s understanding of the independence or lack of independence of such proposed nominee.</w:t>
      </w:r>
    </w:p>
    <w:p>
      <w:pPr>
        <w:spacing w:after="0" w:line="192" w:lineRule="exact"/>
        <w:rPr>
          <w:sz w:val="20"/>
          <w:szCs w:val="20"/>
          <w:color w:val="auto"/>
        </w:rPr>
      </w:pPr>
    </w:p>
    <w:p>
      <w:pPr>
        <w:jc w:val="both"/>
        <w:ind w:firstLine="1304"/>
        <w:spacing w:after="0" w:line="250" w:lineRule="auto"/>
        <w:tabs>
          <w:tab w:leader="none" w:pos="1867" w:val="left"/>
        </w:tabs>
        <w:numPr>
          <w:ilvl w:val="1"/>
          <w:numId w:val="21"/>
        </w:numPr>
        <w:rPr>
          <w:rFonts w:ascii="Arial" w:cs="Arial" w:eastAsia="Arial" w:hAnsi="Arial"/>
          <w:sz w:val="22"/>
          <w:szCs w:val="22"/>
          <w:color w:val="auto"/>
        </w:rPr>
      </w:pPr>
      <w:r>
        <w:rPr>
          <w:rFonts w:ascii="Arial" w:cs="Arial" w:eastAsia="Arial" w:hAnsi="Arial"/>
          <w:sz w:val="22"/>
          <w:szCs w:val="22"/>
          <w:color w:val="auto"/>
        </w:rPr>
        <w:t>For purposes of this Section 2.5, the term “</w:t>
      </w:r>
      <w:r>
        <w:rPr>
          <w:rFonts w:ascii="Arial" w:cs="Arial" w:eastAsia="Arial" w:hAnsi="Arial"/>
          <w:sz w:val="22"/>
          <w:szCs w:val="22"/>
          <w:u w:val="single" w:color="auto"/>
          <w:color w:val="auto"/>
        </w:rPr>
        <w:t>Nominating Person</w:t>
      </w:r>
      <w:r>
        <w:rPr>
          <w:rFonts w:ascii="Arial" w:cs="Arial" w:eastAsia="Arial" w:hAnsi="Arial"/>
          <w:sz w:val="22"/>
          <w:szCs w:val="22"/>
          <w:color w:val="auto"/>
        </w:rPr>
        <w:t>” shall mean (i) the stockholder of record providing the notice of the nomination proposed to be made at the meeting, (ii) the beneficial owner or beneficial owners, if different, on whose behalf the notice of the nomination proposed to be made at the meeting is made, and (iii) any other participant in such solicitation.</w:t>
      </w:r>
    </w:p>
    <w:p>
      <w:pPr>
        <w:spacing w:after="0" w:line="187" w:lineRule="exact"/>
        <w:rPr>
          <w:rFonts w:ascii="Arial" w:cs="Arial" w:eastAsia="Arial" w:hAnsi="Arial"/>
          <w:sz w:val="22"/>
          <w:szCs w:val="22"/>
          <w:color w:val="auto"/>
        </w:rPr>
      </w:pPr>
    </w:p>
    <w:p>
      <w:pPr>
        <w:jc w:val="both"/>
        <w:ind w:firstLine="1304"/>
        <w:spacing w:after="0" w:line="283" w:lineRule="auto"/>
        <w:tabs>
          <w:tab w:leader="none" w:pos="1758" w:val="left"/>
        </w:tabs>
        <w:numPr>
          <w:ilvl w:val="1"/>
          <w:numId w:val="21"/>
        </w:numPr>
        <w:rPr>
          <w:rFonts w:ascii="Arial" w:cs="Arial" w:eastAsia="Arial" w:hAnsi="Arial"/>
          <w:sz w:val="19"/>
          <w:szCs w:val="19"/>
          <w:color w:val="auto"/>
        </w:rPr>
      </w:pPr>
      <w:r>
        <w:rPr>
          <w:rFonts w:ascii="Arial" w:cs="Arial" w:eastAsia="Arial" w:hAnsi="Arial"/>
          <w:sz w:val="19"/>
          <w:szCs w:val="19"/>
          <w:color w:val="auto"/>
        </w:rPr>
        <w:t>A stockholder providing notice of any nomination proposed to be made at a meeting shall further update and supplement such notice, if necessary, so that the information provided or required to be provided in such notice pursuant to this Section 2.5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of the Corporation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w:t>
      </w:r>
    </w:p>
    <w:p>
      <w:pPr>
        <w:spacing w:after="0" w:line="7" w:lineRule="exact"/>
        <w:rPr>
          <w:rFonts w:ascii="Arial" w:cs="Arial" w:eastAsia="Arial" w:hAnsi="Arial"/>
          <w:sz w:val="19"/>
          <w:szCs w:val="19"/>
          <w:color w:val="auto"/>
        </w:rPr>
      </w:pPr>
    </w:p>
    <w:p>
      <w:pPr>
        <w:ind w:firstLine="8"/>
        <w:spacing w:after="0" w:line="323" w:lineRule="auto"/>
        <w:tabs>
          <w:tab w:leader="none" w:pos="421" w:val="left"/>
        </w:tabs>
        <w:numPr>
          <w:ilvl w:val="0"/>
          <w:numId w:val="22"/>
        </w:numPr>
        <w:rPr>
          <w:rFonts w:ascii="Arial" w:cs="Arial" w:eastAsia="Arial" w:hAnsi="Arial"/>
          <w:sz w:val="19"/>
          <w:szCs w:val="19"/>
          <w:color w:val="auto"/>
        </w:rPr>
      </w:pPr>
      <w:r>
        <w:rPr>
          <w:rFonts w:ascii="Arial" w:cs="Arial" w:eastAsia="Arial" w:hAnsi="Arial"/>
          <w:sz w:val="19"/>
          <w:szCs w:val="19"/>
          <w:color w:val="auto"/>
        </w:rPr>
        <w:t>business days prior to the meeting or any adjournment or postponement thereof). For the avoidance of doubt, the obligation to update and supplement as set forth in this paragraph or any other section of these bylaws shall not limit the Corporation’s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8" w:right="339" w:bottom="1440" w:gutter="0" w:footer="0" w:header="0"/>
        </w:sectPr>
      </w:pPr>
    </w:p>
    <w:bookmarkStart w:id="25" w:name="page26"/>
    <w:bookmarkEnd w:id="25"/>
    <w:p>
      <w:pPr>
        <w:jc w:val="both"/>
        <w:spacing w:after="0" w:line="253" w:lineRule="auto"/>
        <w:rPr>
          <w:sz w:val="20"/>
          <w:szCs w:val="20"/>
          <w:color w:val="auto"/>
        </w:rPr>
      </w:pPr>
      <w:r>
        <w:rPr>
          <w:rFonts w:ascii="Arial" w:cs="Arial" w:eastAsia="Arial" w:hAnsi="Arial"/>
          <w:sz w:val="22"/>
          <w:szCs w:val="22"/>
          <w:color w:val="auto"/>
        </w:rPr>
        <w:t>rights with respect to any deficiencies in any notice provided by a stockholder, extend any applicable deadlines hereunder or enable or be deemed to permit a stockholder who has previously submitted notice hereunder to amend or update any nomination or to submit any new nomination.</w:t>
      </w:r>
    </w:p>
    <w:p>
      <w:pPr>
        <w:spacing w:after="0" w:line="185" w:lineRule="exact"/>
        <w:rPr>
          <w:sz w:val="20"/>
          <w:szCs w:val="20"/>
          <w:color w:val="auto"/>
        </w:rPr>
      </w:pPr>
    </w:p>
    <w:p>
      <w:pPr>
        <w:jc w:val="both"/>
        <w:ind w:firstLine="1304"/>
        <w:spacing w:after="0" w:line="285" w:lineRule="auto"/>
        <w:tabs>
          <w:tab w:leader="none" w:pos="1748" w:val="left"/>
        </w:tabs>
        <w:numPr>
          <w:ilvl w:val="0"/>
          <w:numId w:val="23"/>
        </w:numPr>
        <w:rPr>
          <w:rFonts w:ascii="Arial" w:cs="Arial" w:eastAsia="Arial" w:hAnsi="Arial"/>
          <w:sz w:val="19"/>
          <w:szCs w:val="19"/>
          <w:color w:val="auto"/>
        </w:rPr>
      </w:pPr>
      <w:r>
        <w:rPr>
          <w:rFonts w:ascii="Arial" w:cs="Arial" w:eastAsia="Arial" w:hAnsi="Arial"/>
          <w:sz w:val="19"/>
          <w:szCs w:val="19"/>
          <w:color w:val="auto"/>
        </w:rPr>
        <w:t>To be eligible to be a nominee for election as a director of the Corporation at an annual or special meeting, a candidate must be nominated in the manner prescribed in this Section 2.5 and must deliver (in accordance with the time period prescribed for delivery in a notice to such proposed nominee given by or on behalf of the Board), to the secretary of the Corporation at the principal executive offices of the Corporation, (i) a completed written questionnaire (in the form provided by the Corporation) with respect to the background, qualifications, stock ownership and independence of such proposed nominee, and (ii) a written representation and agreement (in the form provided by the Corporation) that such proposed nominee (A) is not and, if elected as a director during his or her term of office, will not become a party to (1) any agreement, arrangement or understanding with, and has not given and will not give any commitment or assurance to, any person or entity as to how such proposed nominee, if elected as a director of the Corporation, will act or vote on any issue or question (a “</w:t>
      </w:r>
      <w:r>
        <w:rPr>
          <w:rFonts w:ascii="Arial" w:cs="Arial" w:eastAsia="Arial" w:hAnsi="Arial"/>
          <w:sz w:val="19"/>
          <w:szCs w:val="19"/>
          <w:u w:val="single" w:color="auto"/>
          <w:color w:val="auto"/>
        </w:rPr>
        <w:t>Voting Commitment</w:t>
      </w:r>
      <w:r>
        <w:rPr>
          <w:rFonts w:ascii="Arial" w:cs="Arial" w:eastAsia="Arial" w:hAnsi="Arial"/>
          <w:sz w:val="19"/>
          <w:szCs w:val="19"/>
          <w:color w:val="auto"/>
        </w:rPr>
        <w:t>”) that has not been disclosed to the Corporation or (2) any Voting Commitment that could limit or interfere with such proposed nominee’s ability to comply, if elected as a director of the Corporation, with such proposed nominee’s fiduciary duties under applicable law, (B) is not, and will not become a party to, any agreement, arrangement or understanding with any person or entity other than the Corporation with respect to any direct or indirect compensation or reimbursement for service as a director of the Corporation that has not been disclosed to the Corporation, and (C)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(and, if requested by any proposed nominee, the secretary of the Corporation shall provide to such proposed nominee all such policies and guidelines then in effect).</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jc w:val="both"/>
        <w:ind w:firstLine="1304"/>
        <w:spacing w:after="0" w:line="253" w:lineRule="auto"/>
        <w:tabs>
          <w:tab w:leader="none" w:pos="1804" w:val="left"/>
        </w:tabs>
        <w:numPr>
          <w:ilvl w:val="0"/>
          <w:numId w:val="23"/>
        </w:numPr>
        <w:rPr>
          <w:rFonts w:ascii="Arial" w:cs="Arial" w:eastAsia="Arial" w:hAnsi="Arial"/>
          <w:sz w:val="22"/>
          <w:szCs w:val="22"/>
          <w:color w:val="auto"/>
        </w:rPr>
      </w:pPr>
      <w:r>
        <w:rPr>
          <w:rFonts w:ascii="Arial" w:cs="Arial" w:eastAsia="Arial" w:hAnsi="Arial"/>
          <w:sz w:val="22"/>
          <w:szCs w:val="22"/>
          <w:color w:val="auto"/>
        </w:rPr>
        <w:t>In addition to the requirements of this Section 2.5 with respect to any nomination proposed to be made at a meeting, each Nominating Person shall comply with all applicable requirements of the Exchange Act with respect to any such nominations.</w:t>
      </w:r>
    </w:p>
    <w:p>
      <w:pPr>
        <w:spacing w:after="0" w:line="185" w:lineRule="exact"/>
        <w:rPr>
          <w:rFonts w:ascii="Arial" w:cs="Arial" w:eastAsia="Arial" w:hAnsi="Arial"/>
          <w:sz w:val="22"/>
          <w:szCs w:val="22"/>
          <w:color w:val="auto"/>
        </w:rPr>
      </w:pPr>
    </w:p>
    <w:p>
      <w:pPr>
        <w:jc w:val="both"/>
        <w:ind w:firstLine="1304"/>
        <w:spacing w:after="0" w:line="260" w:lineRule="auto"/>
        <w:tabs>
          <w:tab w:leader="none" w:pos="1791" w:val="left"/>
        </w:tabs>
        <w:numPr>
          <w:ilvl w:val="0"/>
          <w:numId w:val="23"/>
        </w:numPr>
        <w:rPr>
          <w:rFonts w:ascii="Arial" w:cs="Arial" w:eastAsia="Arial" w:hAnsi="Arial"/>
          <w:sz w:val="21"/>
          <w:szCs w:val="21"/>
          <w:color w:val="auto"/>
        </w:rPr>
      </w:pPr>
      <w:r>
        <w:rPr>
          <w:rFonts w:ascii="Arial" w:cs="Arial" w:eastAsia="Arial" w:hAnsi="Arial"/>
          <w:sz w:val="21"/>
          <w:szCs w:val="21"/>
          <w:color w:val="auto"/>
        </w:rPr>
        <w:t>No proposed nominee shall be eligible for nomination as a director of the Corporation unless such proposed nominee and the Nominating Person seeking to place such proposed nominee’s name in nomination have complied with this Section 2.5, as applicable. The person presiding over the meeting shall, if the facts warrant, determine that a nomination was not properly made in accordance with this Section 2.5, and if he or she should so determine, he or she shall so declare such determination to the meeting, the defective nomination shall be disregarded and any ballots cast for the proposed nominee in question (but in the case of any form of ballot listing other qualified nominees, only the ballots case for the nominee in question) shall be void and of no force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26" w:name="page27"/>
    <w:bookmarkEnd w:id="26"/>
    <w:p>
      <w:pPr>
        <w:jc w:val="both"/>
        <w:ind w:firstLine="1304"/>
        <w:spacing w:after="0" w:line="253" w:lineRule="auto"/>
        <w:tabs>
          <w:tab w:leader="none" w:pos="1724" w:val="left"/>
        </w:tabs>
        <w:numPr>
          <w:ilvl w:val="0"/>
          <w:numId w:val="24"/>
        </w:numPr>
        <w:rPr>
          <w:rFonts w:ascii="Arial" w:cs="Arial" w:eastAsia="Arial" w:hAnsi="Arial"/>
          <w:sz w:val="22"/>
          <w:szCs w:val="22"/>
          <w:color w:val="auto"/>
        </w:rPr>
      </w:pPr>
      <w:r>
        <w:rPr>
          <w:rFonts w:ascii="Arial" w:cs="Arial" w:eastAsia="Arial" w:hAnsi="Arial"/>
          <w:sz w:val="22"/>
          <w:szCs w:val="22"/>
          <w:color w:val="auto"/>
        </w:rPr>
        <w:t>Notwithstanding anything in these bylaws to the contrary, no candidate for nomination at an annual or special meeting shall be eligible to be seated as a director of the Corporation unless nominated and elected in accordance with this Section 2.5</w:t>
      </w:r>
    </w:p>
    <w:p>
      <w:pPr>
        <w:spacing w:after="0" w:line="18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color w:val="auto"/>
        </w:rPr>
        <w:t>NOTICE OF STOCKHOLDERS’ MEETINGS.</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Unless otherwise provided by law, the certificate of incorporation or these bylaws, the notice of any meeting of stockholders shall be given in accordance with either Section 2.7 or Section 8.1 of these bylaws not less than ten (10) nor more than sixty (60) days before the date of the meeting to each stockholder entitled to vote at such meeting as of the record date for determining the stockholders entitled to notice of the meeting. The notice shall specify the place, if any, date and hour of the meeting, the record date for determining the stockholders entitled to vote at the meeting (if such date is different from the record date for stockholders entitled to notice of the meeting), the means of remote communication, if any, by which stockholders and proxy holders may be deemed to be present in person and vote at such meeting, and, in the case of a special meeting, the purpose or purposes for which the meeting is called.</w:t>
      </w:r>
    </w:p>
    <w:p>
      <w:pPr>
        <w:spacing w:after="0" w:line="183" w:lineRule="exact"/>
        <w:rPr>
          <w:sz w:val="20"/>
          <w:szCs w:val="20"/>
          <w:color w:val="auto"/>
        </w:rPr>
      </w:pPr>
    </w:p>
    <w:p>
      <w:pPr>
        <w:ind w:right="680" w:firstLine="648"/>
        <w:spacing w:after="0" w:line="263" w:lineRule="auto"/>
        <w:rPr>
          <w:sz w:val="20"/>
          <w:szCs w:val="20"/>
          <w:color w:val="auto"/>
        </w:rPr>
      </w:pPr>
      <w:r>
        <w:rPr>
          <w:rFonts w:ascii="Arial" w:cs="Arial" w:eastAsia="Arial" w:hAnsi="Arial"/>
          <w:sz w:val="22"/>
          <w:szCs w:val="22"/>
          <w:color w:val="auto"/>
        </w:rPr>
        <w:t>2.7 MANNER OF GIVING NOTICE; AFFIDAVIT OF NOTICE Notice of any meeting of stockholders shall be deemed given:</w:t>
      </w:r>
    </w:p>
    <w:p>
      <w:pPr>
        <w:spacing w:after="0" w:line="175" w:lineRule="exact"/>
        <w:rPr>
          <w:sz w:val="20"/>
          <w:szCs w:val="20"/>
          <w:color w:val="auto"/>
        </w:rPr>
      </w:pPr>
    </w:p>
    <w:p>
      <w:pPr>
        <w:ind w:right="20" w:firstLine="1304"/>
        <w:spacing w:after="0" w:line="263" w:lineRule="auto"/>
        <w:tabs>
          <w:tab w:leader="none" w:pos="1854" w:val="left"/>
        </w:tabs>
        <w:numPr>
          <w:ilvl w:val="0"/>
          <w:numId w:val="25"/>
        </w:numPr>
        <w:rPr>
          <w:rFonts w:ascii="Arial" w:cs="Arial" w:eastAsia="Arial" w:hAnsi="Arial"/>
          <w:sz w:val="22"/>
          <w:szCs w:val="22"/>
          <w:color w:val="auto"/>
        </w:rPr>
      </w:pPr>
      <w:r>
        <w:rPr>
          <w:rFonts w:ascii="Arial" w:cs="Arial" w:eastAsia="Arial" w:hAnsi="Arial"/>
          <w:sz w:val="22"/>
          <w:szCs w:val="22"/>
          <w:color w:val="auto"/>
        </w:rPr>
        <w:t>if mailed, when deposited in the United States mail, postage prepaid, directed to the stockholder at such stockholder’s address as it appears on the Corporation’s records;</w:t>
      </w:r>
    </w:p>
    <w:p>
      <w:pPr>
        <w:spacing w:after="0" w:line="174" w:lineRule="exact"/>
        <w:rPr>
          <w:rFonts w:ascii="Arial" w:cs="Arial" w:eastAsia="Arial" w:hAnsi="Arial"/>
          <w:sz w:val="22"/>
          <w:szCs w:val="22"/>
          <w:color w:val="auto"/>
        </w:rPr>
      </w:pPr>
    </w:p>
    <w:p>
      <w:pPr>
        <w:ind w:firstLine="1304"/>
        <w:spacing w:after="0" w:line="263" w:lineRule="auto"/>
        <w:tabs>
          <w:tab w:leader="none" w:pos="1764" w:val="left"/>
        </w:tabs>
        <w:numPr>
          <w:ilvl w:val="0"/>
          <w:numId w:val="25"/>
        </w:numPr>
        <w:rPr>
          <w:rFonts w:ascii="Arial" w:cs="Arial" w:eastAsia="Arial" w:hAnsi="Arial"/>
          <w:sz w:val="22"/>
          <w:szCs w:val="22"/>
          <w:color w:val="auto"/>
        </w:rPr>
      </w:pPr>
      <w:r>
        <w:rPr>
          <w:rFonts w:ascii="Arial" w:cs="Arial" w:eastAsia="Arial" w:hAnsi="Arial"/>
          <w:sz w:val="22"/>
          <w:szCs w:val="22"/>
          <w:color w:val="auto"/>
        </w:rPr>
        <w:t>if delivered by courier service, the earlier of when the notice is received or left at the stockholder’s address as it appears on the Corporation’s records; or</w:t>
      </w:r>
    </w:p>
    <w:p>
      <w:pPr>
        <w:spacing w:after="0" w:line="174" w:lineRule="exact"/>
        <w:rPr>
          <w:rFonts w:ascii="Arial" w:cs="Arial" w:eastAsia="Arial" w:hAnsi="Arial"/>
          <w:sz w:val="22"/>
          <w:szCs w:val="22"/>
          <w:color w:val="auto"/>
        </w:rPr>
      </w:pPr>
    </w:p>
    <w:p>
      <w:pPr>
        <w:ind w:left="1760" w:hanging="456"/>
        <w:spacing w:after="0"/>
        <w:tabs>
          <w:tab w:leader="none" w:pos="1760" w:val="left"/>
        </w:tabs>
        <w:numPr>
          <w:ilvl w:val="0"/>
          <w:numId w:val="25"/>
        </w:numPr>
        <w:rPr>
          <w:rFonts w:ascii="Arial" w:cs="Arial" w:eastAsia="Arial" w:hAnsi="Arial"/>
          <w:sz w:val="22"/>
          <w:szCs w:val="22"/>
          <w:color w:val="auto"/>
        </w:rPr>
      </w:pPr>
      <w:r>
        <w:rPr>
          <w:rFonts w:ascii="Arial" w:cs="Arial" w:eastAsia="Arial" w:hAnsi="Arial"/>
          <w:sz w:val="22"/>
          <w:szCs w:val="22"/>
          <w:color w:val="auto"/>
        </w:rPr>
        <w:t>if electronically transmitted, as provided in Section 8.1 of these bylaws.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An affidavit of the secretary or an assistant secretary of the Corporation or of the transfer agent or any other agent of the Corporation that the notice has been given by mail or by a form of electronic transmission, as applicable, shall, in the absence of fraud, be prima facie evidence of the facts stated therein.</w:t>
      </w:r>
    </w:p>
    <w:p>
      <w:pPr>
        <w:spacing w:after="0" w:line="18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Except as otherwise prohibited under the DGCL, without limiting the manner by which notice otherwise may be given effectively to stockholders, any notice to stockholders given by the Corporation under the provisions of the DGCL,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Corporation. Any stockholder who fails to object in writing to the Corporation, within 60 days of having been given written notice by the Corporation of its intention to send the single notice, shall be deemed to have consented to receiving such single written notice.</w:t>
      </w:r>
    </w:p>
    <w:p>
      <w:pPr>
        <w:spacing w:after="0" w:line="180" w:lineRule="exact"/>
        <w:rPr>
          <w:sz w:val="20"/>
          <w:szCs w:val="20"/>
          <w:color w:val="auto"/>
        </w:rPr>
      </w:pPr>
    </w:p>
    <w:p>
      <w:pPr>
        <w:ind w:right="580" w:firstLine="648"/>
        <w:spacing w:after="0" w:line="263" w:lineRule="auto"/>
        <w:rPr>
          <w:sz w:val="20"/>
          <w:szCs w:val="20"/>
          <w:color w:val="auto"/>
        </w:rPr>
      </w:pPr>
      <w:r>
        <w:rPr>
          <w:rFonts w:ascii="Arial" w:cs="Arial" w:eastAsia="Arial" w:hAnsi="Arial"/>
          <w:sz w:val="22"/>
          <w:szCs w:val="22"/>
          <w:color w:val="auto"/>
        </w:rPr>
        <w:t>2.8 QUORUM Unless otherwise provided by law, the certificate of incorporation or these bylaws, the holders of a majority in voting power of the capital stock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27" w:name="page28"/>
    <w:bookmarkEnd w:id="27"/>
    <w:p>
      <w:pPr>
        <w:ind w:right="20"/>
        <w:spacing w:after="0" w:line="289" w:lineRule="auto"/>
        <w:rPr>
          <w:sz w:val="20"/>
          <w:szCs w:val="20"/>
          <w:color w:val="auto"/>
        </w:rPr>
      </w:pPr>
      <w:r>
        <w:rPr>
          <w:rFonts w:ascii="Arial" w:cs="Arial" w:eastAsia="Arial" w:hAnsi="Arial"/>
          <w:sz w:val="19"/>
          <w:szCs w:val="19"/>
          <w:color w:val="auto"/>
        </w:rPr>
        <w:t>issued and outstanding and entitled to vote thereat, present in person, or by remote communication, if applicable, or represented by proxy, shall constitute a quorum for the transaction of business at all meetings of the stockholders. Where a separate vote by class or series is required on a matter, the holders of a majority in voting power of such class or series issued and outstanding and entitled to vote, present in person, or by remote communication, if applicable, or represented by proxy, shall constitute a quorum for such matter. A quorum, once established at a meeting, shall not be broken by the withdrawal of enough votes to leave less than a quorum. If, however, a quorum is not present or represented at any meeting of the stockholders, then either (a) the person presiding over the meeting or (b) a majority in voting power of the stockholders, present in person, or by remote communication, if applicable, or represented by proxy, and entitled to vote thereon shall have the power to adjourn the meeting from time to time in the manner provided in Section 2.9 of these bylaws until a quorum is present or represented.</w:t>
      </w:r>
    </w:p>
    <w:p>
      <w:pPr>
        <w:spacing w:after="0" w:line="157"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2.9 ADJOURNED MEETING; NOTICE Any meeting of stockholders, annual or special, may adjourn from time to time to reconvene at the same or some other place. When a meeting is adjourned, notice need not be given of the adjourned meeting if the time and place, if any, thereof, and the means of remote communications, if any, by which stockholders and proxy holders may be deemed to be present in person and vote at such adjourned meeting are announced at the meeting at which the adjournment is taken. At any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the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163" w:lineRule="exact"/>
        <w:rPr>
          <w:sz w:val="20"/>
          <w:szCs w:val="20"/>
          <w:color w:val="auto"/>
        </w:rPr>
      </w:pPr>
    </w:p>
    <w:p>
      <w:pPr>
        <w:ind w:right="20" w:firstLine="648"/>
        <w:spacing w:after="0" w:line="287" w:lineRule="auto"/>
        <w:rPr>
          <w:sz w:val="20"/>
          <w:szCs w:val="20"/>
          <w:color w:val="auto"/>
        </w:rPr>
      </w:pPr>
      <w:r>
        <w:rPr>
          <w:rFonts w:ascii="Arial" w:cs="Arial" w:eastAsia="Arial" w:hAnsi="Arial"/>
          <w:sz w:val="19"/>
          <w:szCs w:val="19"/>
          <w:color w:val="auto"/>
        </w:rPr>
        <w:t>2.10 CONDUCT OF BUSINESS Meetings of stockholders shall be presided over by the chairperson of the Board, if any, or in his or her absence by the vice chairperson of the Board, if any, or in the absence of the foregoing persons by the chief executive officer, or in the absence of the foregoing persons by the president, or in the absence of the foregoing persons by a vice president, or in the absence of or in lieu of the foregoing persons by a chairperson designated by the Board, or in the absence of such designation by a chairperson chosen at the meeting. The secretary of the Corporation shall act as secretary of the meeting, but in his or her absence the chairperson of the meeting may appoint any person to act as secretary of the meeting. The date and time of the opening and the closing of the polls for each matter upon which the stockholders will vote at a meeting shall be determined by the Board or the person presiding over the meeting and announced at the meeting by the person presiding over the meeting. The Board may adopt by resolution such rules and regulations for the conduct of the meeting of stockholders as it shall deem appropriate. Except to the extent inconsistent with such rules and regulations as adopted by the Board, the person presiding over any meeting of stockholders shall have the right and authority to convene and (for any or no reason) to recess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00"/>
          </w:cols>
          <w:pgMar w:left="320" w:top="1428" w:right="379" w:bottom="1440" w:gutter="0" w:footer="0" w:header="0"/>
        </w:sectPr>
      </w:pPr>
    </w:p>
    <w:bookmarkStart w:id="28" w:name="page29"/>
    <w:bookmarkEnd w:id="28"/>
    <w:p>
      <w:pPr>
        <w:spacing w:after="0" w:line="285" w:lineRule="auto"/>
        <w:rPr>
          <w:sz w:val="20"/>
          <w:szCs w:val="20"/>
          <w:color w:val="auto"/>
        </w:rPr>
      </w:pPr>
      <w:r>
        <w:rPr>
          <w:rFonts w:ascii="Arial" w:cs="Arial" w:eastAsia="Arial" w:hAnsi="Arial"/>
          <w:sz w:val="19"/>
          <w:szCs w:val="19"/>
          <w:color w:val="auto"/>
        </w:rPr>
        <w:t>and/or adjourn the meeting, to prescribe such rules, regulations and procedures (which need not be in writing) and to do all such acts as, in the judgment of such presiding person, are appropriate for the proper conduct of the meeting. Such rules, regulations or procedures, whether adopted by the Board or prescribed by the person presiding over the meeting, may include, without limitation, the following: (a) the establishment of an agenda or order of business for the meeting; (b) rules and procedures for maintaining order at the meeting and the safety of those present (including, without limitation, rules and procedures for the removal of disruptive persons from the meeting); (c) limitations on attendance at or participation in the meeting to stockholders entitled to vote at the meeting, their duly authorized and constituted proxies or such other persons as the person presiding over the meeting shall determine; (d) restrictions on entry to the meeting after the time fixed for the commencement thereof; and (e) limitations on the time allotted to questions or comments by participants. The person presiding over any meeting of stockholders, in addition to making any other determinations that may be appropriate to the conduct of the meeting (including, without limitation, determinations with respect to the administration and/or interpretation of any of the rules, regulations or procedures of the meeting, whether adopted by the Board or prescribed by the person presiding over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200" w:lineRule="exact"/>
        <w:rPr>
          <w:sz w:val="20"/>
          <w:szCs w:val="20"/>
          <w:color w:val="auto"/>
        </w:rPr>
      </w:pPr>
    </w:p>
    <w:p>
      <w:pPr>
        <w:spacing w:after="0" w:line="225" w:lineRule="exact"/>
        <w:rPr>
          <w:sz w:val="20"/>
          <w:szCs w:val="20"/>
          <w:color w:val="auto"/>
        </w:rPr>
      </w:pPr>
    </w:p>
    <w:p>
      <w:pPr>
        <w:jc w:val="both"/>
        <w:ind w:right="160" w:firstLine="648"/>
        <w:spacing w:after="0" w:line="312" w:lineRule="auto"/>
        <w:rPr>
          <w:sz w:val="20"/>
          <w:szCs w:val="20"/>
          <w:color w:val="auto"/>
        </w:rPr>
      </w:pPr>
      <w:r>
        <w:rPr>
          <w:rFonts w:ascii="Arial" w:cs="Arial" w:eastAsia="Arial" w:hAnsi="Arial"/>
          <w:sz w:val="19"/>
          <w:szCs w:val="19"/>
          <w:color w:val="auto"/>
        </w:rPr>
        <w:t>2.11 VOTING The stockholders entitled to vote at any meeting of stockholders shall be determined in accordance with the provisions of Section 2.13 of these bylaws, subject to Section 217 (relating to voting rights of fiduciaries, pledgors and joint owners of stock) and Section 218 (relating to voting trusts and other voting agreements) of the DGCL.</w:t>
      </w:r>
    </w:p>
    <w:p>
      <w:pPr>
        <w:spacing w:after="0" w:line="133"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Except as may be otherwise provided in the certificate of incorporation, each stockholder shall be entitled to one (1) vote for each share of capital stock held by such stockholder. Voting at meetings of stockholders need not be by written ballot.</w:t>
      </w:r>
    </w:p>
    <w:p>
      <w:pPr>
        <w:spacing w:after="0" w:line="10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At any duly called or convened meeting of stockholders at which a quorum is present, for the election of directors, a plurality of the votes cast shall be sufficient to elect a director. All other elections and questions presented to the stockholders at a duly called or convened meeting at which a quorum is present shall, unless a different or minimum vote is required by the certificate of incorporation, these bylaws, the rules or regulations of any stock exchange applicable to the Corporation, or any law or regulation applicable to the Corporation or its securities (in which case such different or minimum vote shall be the applicable vote on the matter), be decided by the affirmative vote of the holders of a majority of the votes cast (excluding abstentions and broker non-votes) on such matter by the holders entitled to vote thereon.</w:t>
      </w:r>
    </w:p>
    <w:p>
      <w:pPr>
        <w:spacing w:after="0" w:line="180" w:lineRule="exact"/>
        <w:rPr>
          <w:sz w:val="20"/>
          <w:szCs w:val="20"/>
          <w:color w:val="auto"/>
        </w:rPr>
      </w:pPr>
    </w:p>
    <w:p>
      <w:pPr>
        <w:ind w:right="800" w:firstLine="648"/>
        <w:spacing w:after="0" w:line="263" w:lineRule="auto"/>
        <w:rPr>
          <w:sz w:val="20"/>
          <w:szCs w:val="20"/>
          <w:color w:val="auto"/>
        </w:rPr>
      </w:pPr>
      <w:r>
        <w:rPr>
          <w:rFonts w:ascii="Arial" w:cs="Arial" w:eastAsia="Arial" w:hAnsi="Arial"/>
          <w:sz w:val="22"/>
          <w:szCs w:val="22"/>
          <w:color w:val="auto"/>
        </w:rPr>
        <w:t>2.12 STOCKHOLDER ACTION BY WRITTEN CONSENT WITHOUT A MEETING Any action required or permitted to be taken by the stockholders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8" w:right="339" w:bottom="1440" w:gutter="0" w:footer="0" w:header="0"/>
        </w:sectPr>
      </w:pPr>
    </w:p>
    <w:bookmarkStart w:id="29" w:name="page30"/>
    <w:bookmarkEnd w:id="29"/>
    <w:p>
      <w:pPr>
        <w:jc w:val="both"/>
        <w:ind w:right="220"/>
        <w:spacing w:after="0" w:line="248" w:lineRule="auto"/>
        <w:rPr>
          <w:sz w:val="20"/>
          <w:szCs w:val="20"/>
          <w:color w:val="auto"/>
        </w:rPr>
      </w:pPr>
      <w:r>
        <w:rPr>
          <w:rFonts w:ascii="Arial" w:cs="Arial" w:eastAsia="Arial" w:hAnsi="Arial"/>
          <w:sz w:val="22"/>
          <w:szCs w:val="22"/>
          <w:color w:val="auto"/>
        </w:rPr>
        <w:t xml:space="preserve">must be effected at a duly called annual or special meeting of stockholders of the Corporation and may not be effected by any consent in writing by such stockholders; </w:t>
      </w:r>
      <w:r>
        <w:rPr>
          <w:rFonts w:ascii="Arial" w:cs="Arial" w:eastAsia="Arial" w:hAnsi="Arial"/>
          <w:sz w:val="22"/>
          <w:szCs w:val="22"/>
          <w:i w:val="1"/>
          <w:iCs w:val="1"/>
          <w:u w:val="single" w:color="auto"/>
          <w:color w:val="auto"/>
        </w:rPr>
        <w:t>provided, however</w:t>
      </w:r>
      <w:r>
        <w:rPr>
          <w:rFonts w:ascii="Arial" w:cs="Arial" w:eastAsia="Arial" w:hAnsi="Arial"/>
          <w:sz w:val="22"/>
          <w:szCs w:val="22"/>
          <w:color w:val="auto"/>
        </w:rPr>
        <w:t>,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w:t>
      </w:r>
    </w:p>
    <w:p>
      <w:pPr>
        <w:spacing w:after="0" w:line="19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19"/>
          <w:szCs w:val="19"/>
          <w:color w:val="auto"/>
        </w:rPr>
        <w:t>RECORD DATE FOR STOCKHOLDER NOTICE; VOTING.</w:t>
      </w:r>
    </w:p>
    <w:p>
      <w:pPr>
        <w:spacing w:after="0" w:line="220" w:lineRule="exact"/>
        <w:rPr>
          <w:sz w:val="20"/>
          <w:szCs w:val="20"/>
          <w:color w:val="auto"/>
        </w:rPr>
      </w:pPr>
    </w:p>
    <w:p>
      <w:pPr>
        <w:ind w:right="20" w:firstLine="648"/>
        <w:spacing w:after="0" w:line="286" w:lineRule="auto"/>
        <w:rPr>
          <w:sz w:val="20"/>
          <w:szCs w:val="20"/>
          <w:color w:val="auto"/>
        </w:rPr>
      </w:pPr>
      <w:r>
        <w:rPr>
          <w:rFonts w:ascii="Arial" w:cs="Arial" w:eastAsia="Arial" w:hAnsi="Arial"/>
          <w:sz w:val="19"/>
          <w:szCs w:val="19"/>
          <w:color w:val="auto"/>
        </w:rPr>
        <w:t xml:space="preserve">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however</w:t>
      </w:r>
      <w:r>
        <w:rPr>
          <w:rFonts w:ascii="Arial" w:cs="Arial" w:eastAsia="Arial" w:hAnsi="Arial"/>
          <w:sz w:val="19"/>
          <w:szCs w:val="19"/>
          <w:color w:val="auto"/>
        </w:rPr>
        <w:t>, that the Board may fix a new record date for determination of stockholders entitled to vote at the adjourned meeting,</w:t>
      </w:r>
      <w:r>
        <w:rPr>
          <w:rFonts w:ascii="Arial" w:cs="Arial" w:eastAsia="Arial" w:hAnsi="Arial"/>
          <w:sz w:val="19"/>
          <w:szCs w:val="19"/>
          <w:i w:val="1"/>
          <w:iCs w:val="1"/>
          <w:color w:val="auto"/>
        </w:rPr>
        <w:t xml:space="preserve"> </w:t>
      </w:r>
      <w:r>
        <w:rPr>
          <w:rFonts w:ascii="Arial" w:cs="Arial" w:eastAsia="Arial" w:hAnsi="Arial"/>
          <w:sz w:val="19"/>
          <w:szCs w:val="19"/>
          <w:color w:val="auto"/>
        </w:rPr>
        <w:t>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6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capital stock, or for the purpose of any other lawful action, the Board may fix a record date, which shall not be more than sixty (60) days prior to such action. If no such record date is fixed, the record date for determining stockholders for any such purpose shall be at the close of business on the day on which the Board adopts the resolution relating thereto.</w:t>
      </w:r>
    </w:p>
    <w:p>
      <w:pPr>
        <w:spacing w:after="0" w:line="14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Unless otherwise restricted by the certificate of incorporation, in order that the Corporation may determine the stockholders entitled to express consent to corporate action in writing without a meeting, the Board may fix a record date, which record date shall not precede the date upon which the resolution fixing the record date is adopted by the Board, and which record date shall not be more than ten (10) days after the date upon which the resolution fixing the record date is adopted by the Board. If no record date for determining stockholders entitled to express consent to corporate action in writing without a meeting is fixed by the Board, (i) when no prior action of the Board is required by law, the record date for such purpose shall be the first date on which a signed written consent setting forth the action taken or proposed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8" w:right="339" w:bottom="1440" w:gutter="0" w:footer="0" w:header="0"/>
        </w:sectPr>
      </w:pPr>
    </w:p>
    <w:bookmarkStart w:id="30" w:name="page31"/>
    <w:bookmarkEnd w:id="30"/>
    <w:p>
      <w:pPr>
        <w:jc w:val="both"/>
        <w:spacing w:after="0" w:line="253" w:lineRule="auto"/>
        <w:rPr>
          <w:sz w:val="20"/>
          <w:szCs w:val="20"/>
          <w:color w:val="auto"/>
        </w:rPr>
      </w:pPr>
      <w:r>
        <w:rPr>
          <w:rFonts w:ascii="Arial" w:cs="Arial" w:eastAsia="Arial" w:hAnsi="Arial"/>
          <w:sz w:val="22"/>
          <w:szCs w:val="22"/>
          <w:color w:val="auto"/>
        </w:rPr>
        <w:t>taken is delivered to the Corporation in accordance with applicable law, and (ii) if prior action by the Board is required by law, the record date for such purpose shall be at the close of business on the day on which the Board adopts the resolution taking such prior action.</w:t>
      </w:r>
    </w:p>
    <w:p>
      <w:pPr>
        <w:spacing w:after="0" w:line="185"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2.14 PROXIES Each stockholder entitled to vote at a meeting of stockholders or to express consent to corporate action in writing without a meeting may authorize another person or persons to act for such stockholder by proxy authorized by an instrument in writing or by a transmission permitted by law to be filed in accordance with the procedure established for the meeting, but no such proxy shall be voted or acted upon after three (3) years from its date, unless the proxy provides for a longer period. A proxy shall be irrevocable if it states on its face that it is irrevocable and if, and only for so long as, it is coupled with an interest sufficient in law to support an irrevocable power and shall be governed by the provisions of Section 212 of the DGCL. A proxy may be in the form of a telegram, cablegram or other means of electronic transmission which sets forth or is submitted with information from which it can be determined that the telegram, cablegram or other means of electronic transmission was authorized by the stockholder. The authorization of a person to act as proxy may be documented, signed and delivered in accordance with Section 116 of the DGCL provided that such authorization shall set forth, or be delivered with, information enabling the Corporation to determine the identity of the stockholder granting such authorization.</w:t>
      </w:r>
    </w:p>
    <w:p>
      <w:pPr>
        <w:spacing w:after="0" w:line="163"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color w:val="auto"/>
        </w:rPr>
        <w:t>2.15 LIST OF STOCKHOLDERS ENTITLED TO VOTE The Corporation shall prepare, at least ten (10) days before every meeting of stockholders, a complete list of the stockholders entitled to vote at the meeting (</w:t>
      </w:r>
      <w:r>
        <w:rPr>
          <w:rFonts w:ascii="Arial" w:cs="Arial" w:eastAsia="Arial" w:hAnsi="Arial"/>
          <w:sz w:val="19"/>
          <w:szCs w:val="19"/>
          <w:i w:val="1"/>
          <w:iCs w:val="1"/>
          <w:u w:val="single" w:color="auto"/>
          <w:color w:val="auto"/>
        </w:rPr>
        <w:t>provided, however</w:t>
      </w:r>
      <w:r>
        <w:rPr>
          <w:rFonts w:ascii="Arial" w:cs="Arial" w:eastAsia="Arial" w:hAnsi="Arial"/>
          <w:sz w:val="19"/>
          <w:szCs w:val="19"/>
          <w:color w:val="auto"/>
        </w:rPr>
        <w:t xml:space="preserve">, that if the record date for determining the stockholders entitled to vote is less than ten (10) days before the date of the meeting, the list shall reflect the stockholders entitled to vote as of the tenth day before the date of the meeting),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ten (10) days prior to the meeting: (a) on a reasonably accessible electronic network,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that the information required to gain access to such list is provided with the notice of the meeting, or (b)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the identity of the stockholders entitled to vote in person or by proxy and the number of shares held by each of them, and as to the stockholders entitled to examine the list of stockholders required by this Section 2.15.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8" w:right="339" w:bottom="1440" w:gutter="0" w:footer="0" w:header="0"/>
        </w:sectPr>
      </w:pPr>
    </w:p>
    <w:bookmarkStart w:id="31" w:name="page32"/>
    <w:bookmarkEnd w:id="31"/>
    <w:p>
      <w:pPr>
        <w:ind w:left="660"/>
        <w:spacing w:after="0"/>
        <w:tabs>
          <w:tab w:leader="none" w:pos="1240" w:val="left"/>
        </w:tabs>
        <w:rPr>
          <w:sz w:val="20"/>
          <w:szCs w:val="20"/>
          <w:color w:val="auto"/>
        </w:rPr>
      </w:pPr>
      <w:r>
        <w:rPr>
          <w:rFonts w:ascii="Arial" w:cs="Arial" w:eastAsia="Arial" w:hAnsi="Arial"/>
          <w:sz w:val="22"/>
          <w:szCs w:val="22"/>
          <w:color w:val="auto"/>
        </w:rPr>
        <w:t>2.16</w:t>
      </w:r>
      <w:r>
        <w:rPr>
          <w:sz w:val="20"/>
          <w:szCs w:val="20"/>
          <w:color w:val="auto"/>
        </w:rPr>
        <w:tab/>
      </w:r>
      <w:r>
        <w:rPr>
          <w:rFonts w:ascii="Arial" w:cs="Arial" w:eastAsia="Arial" w:hAnsi="Arial"/>
          <w:sz w:val="19"/>
          <w:szCs w:val="19"/>
          <w:color w:val="auto"/>
        </w:rPr>
        <w:t>POSTPONEMENT, ADJOURNMENT AND CANCELLATION OF MEETING.</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Any previously scheduled annual or special meeting of the stockholders may be postponed, adjourned or canceled by resolution of the Board.</w:t>
      </w:r>
    </w:p>
    <w:p>
      <w:pPr>
        <w:spacing w:after="0" w:line="17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2.17</w:t>
      </w:r>
      <w:r>
        <w:rPr>
          <w:sz w:val="20"/>
          <w:szCs w:val="20"/>
          <w:color w:val="auto"/>
        </w:rPr>
        <w:tab/>
      </w:r>
      <w:r>
        <w:rPr>
          <w:rFonts w:ascii="Arial" w:cs="Arial" w:eastAsia="Arial" w:hAnsi="Arial"/>
          <w:sz w:val="19"/>
          <w:szCs w:val="19"/>
          <w:color w:val="auto"/>
        </w:rPr>
        <w:t>INSPECTORS OF ELECTION.</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Before any meeting of stockholders, the Corporation may, and shall if required by law, appoint an inspector or inspectors of election to act at the meeting or its adjournment or postponement and make a written report thereof. The number of inspectors shall be either one (1) or three (3). The Corporation may also designate one or more persons to act as alternate inspectors to replace any inspector who fails or refuses to act. If any person appointed as inspector and such person’s designated alternate, if any, fails to appear or fails or refuses to act, then the person presiding over the meeting shall appoint a person to fill that vacancy. Unless otherwise required by law, inspectors may be officers, employees or agents of the Corporation. Such inspectors shall have the duties prescribed by law. Each inspector, before entering upon the discharge of his or her duties, shall take and sign an oath to execute faithfully the duties of inspector with strict impartiality and according to the best of his or her ability. If there are three (3) inspectors of election, the decision, act or certificate of a majority is effective in all respects as the decision, act or certificate of all. Any report or certificate made by the inspector(s) of election is prima facie evidence of the facts stated therein. The inspector(s) of election may appoint such persons to assist them in performing their duties as they determine.</w:t>
      </w:r>
    </w:p>
    <w:p>
      <w:pPr>
        <w:spacing w:after="0" w:line="16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2.18</w:t>
      </w:r>
      <w:r>
        <w:rPr>
          <w:sz w:val="20"/>
          <w:szCs w:val="20"/>
          <w:color w:val="auto"/>
        </w:rPr>
        <w:tab/>
      </w:r>
      <w:r>
        <w:rPr>
          <w:rFonts w:ascii="Arial" w:cs="Arial" w:eastAsia="Arial" w:hAnsi="Arial"/>
          <w:sz w:val="19"/>
          <w:szCs w:val="19"/>
          <w:color w:val="auto"/>
        </w:rPr>
        <w:t>DELIVERY TO THE CORPORATION.</w:t>
      </w:r>
    </w:p>
    <w:p>
      <w:pPr>
        <w:spacing w:after="0" w:line="22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Whenever Sections 2.4 and 2.5 of this Article II require one or more persons (including a record or beneficial owner of stock) to deliver a document or information to the Corporation or any officer, employee or agent thereof (including any notice, request, questionnaire, revocation, representation or other document or agreement, except as otherwise requested or consented to by the Corporation),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the Corporation expressly opts out of Section 116 of the DGCL with respect to the delivery of information and documents to the Corporation required by Sections 2.4 and 2.5 of this Article II.</w:t>
      </w:r>
    </w:p>
    <w:p>
      <w:pPr>
        <w:spacing w:after="0" w:line="150"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ARTICLE III - DIRECTORS</w:t>
      </w:r>
    </w:p>
    <w:p>
      <w:pPr>
        <w:spacing w:after="0" w:line="226" w:lineRule="exact"/>
        <w:rPr>
          <w:sz w:val="20"/>
          <w:szCs w:val="20"/>
          <w:color w:val="auto"/>
        </w:rPr>
      </w:pPr>
    </w:p>
    <w:p>
      <w:pPr>
        <w:ind w:right="740" w:firstLine="648"/>
        <w:spacing w:after="0" w:line="263" w:lineRule="auto"/>
        <w:rPr>
          <w:sz w:val="20"/>
          <w:szCs w:val="20"/>
          <w:color w:val="auto"/>
        </w:rPr>
      </w:pPr>
      <w:r>
        <w:rPr>
          <w:rFonts w:ascii="Arial" w:cs="Arial" w:eastAsia="Arial" w:hAnsi="Arial"/>
          <w:sz w:val="22"/>
          <w:szCs w:val="22"/>
          <w:color w:val="auto"/>
        </w:rPr>
        <w:t>3.1 POWERS Except as provided in the DGCL or the certificate of incorporation, the business and affairs of the Corporation shall be managed by or under the direction of the Board.</w:t>
      </w:r>
    </w:p>
    <w:p>
      <w:pPr>
        <w:spacing w:after="0" w:line="175" w:lineRule="exact"/>
        <w:rPr>
          <w:sz w:val="20"/>
          <w:szCs w:val="20"/>
          <w:color w:val="auto"/>
        </w:rPr>
      </w:pPr>
    </w:p>
    <w:p>
      <w:pPr>
        <w:ind w:right="60" w:firstLine="648"/>
        <w:spacing w:after="0" w:line="253" w:lineRule="auto"/>
        <w:rPr>
          <w:sz w:val="20"/>
          <w:szCs w:val="20"/>
          <w:color w:val="auto"/>
        </w:rPr>
      </w:pPr>
      <w:r>
        <w:rPr>
          <w:rFonts w:ascii="Arial" w:cs="Arial" w:eastAsia="Arial" w:hAnsi="Arial"/>
          <w:sz w:val="22"/>
          <w:szCs w:val="22"/>
          <w:color w:val="auto"/>
        </w:rPr>
        <w:t xml:space="preserve">3.2 NUMBER OF DIRECTORS Subject to the rights of holders of any preferred stock, the authorized number of directors constituting the Board shall be determined from time to time solely by resolution of the Board, </w:t>
      </w:r>
      <w:r>
        <w:rPr>
          <w:rFonts w:ascii="Arial" w:cs="Arial" w:eastAsia="Arial" w:hAnsi="Arial"/>
          <w:sz w:val="22"/>
          <w:szCs w:val="22"/>
          <w:i w:val="1"/>
          <w:iCs w:val="1"/>
          <w:u w:val="single" w:color="auto"/>
          <w:color w:val="auto"/>
        </w:rPr>
        <w:t>provided</w:t>
      </w:r>
      <w:r>
        <w:rPr>
          <w:rFonts w:ascii="Arial" w:cs="Arial" w:eastAsia="Arial" w:hAnsi="Arial"/>
          <w:sz w:val="22"/>
          <w:szCs w:val="22"/>
          <w:color w:val="auto"/>
        </w:rPr>
        <w:t xml:space="preserve"> the Board shall consist of at least one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8" w:right="339" w:bottom="1440" w:gutter="0" w:footer="0" w:header="0"/>
        </w:sectPr>
      </w:pPr>
    </w:p>
    <w:bookmarkStart w:id="32" w:name="page33"/>
    <w:bookmarkEnd w:id="32"/>
    <w:p>
      <w:pPr>
        <w:ind w:right="160"/>
        <w:spacing w:after="0" w:line="263" w:lineRule="auto"/>
        <w:rPr>
          <w:sz w:val="20"/>
          <w:szCs w:val="20"/>
          <w:color w:val="auto"/>
        </w:rPr>
      </w:pPr>
      <w:r>
        <w:rPr>
          <w:rFonts w:ascii="Arial" w:cs="Arial" w:eastAsia="Arial" w:hAnsi="Arial"/>
          <w:sz w:val="22"/>
          <w:szCs w:val="22"/>
          <w:color w:val="auto"/>
        </w:rPr>
        <w:t>member. No reduction of the authorized number of directors shall have the effect of removing any director before that director’s term of office expires.</w:t>
      </w:r>
    </w:p>
    <w:p>
      <w:pPr>
        <w:spacing w:after="0" w:line="175" w:lineRule="exact"/>
        <w:rPr>
          <w:sz w:val="20"/>
          <w:szCs w:val="20"/>
          <w:color w:val="auto"/>
        </w:rPr>
      </w:pPr>
    </w:p>
    <w:p>
      <w:pPr>
        <w:ind w:right="60" w:firstLine="648"/>
        <w:spacing w:after="0" w:line="246" w:lineRule="auto"/>
        <w:rPr>
          <w:sz w:val="20"/>
          <w:szCs w:val="20"/>
          <w:color w:val="auto"/>
        </w:rPr>
      </w:pPr>
      <w:r>
        <w:rPr>
          <w:rFonts w:ascii="Arial" w:cs="Arial" w:eastAsia="Arial" w:hAnsi="Arial"/>
          <w:sz w:val="22"/>
          <w:szCs w:val="22"/>
          <w:color w:val="auto"/>
        </w:rPr>
        <w:t>3.3 ELECTION, QUALIFICATION AND TERM OF OFFICE OF DIRECTORS Except as provided in Section 3.4 of these bylaws, each director, including, without limitation, a director elected to fill a vacancy or newly created directorship, shall hold office until the expiration of the term of the class for which elected and until such director’s successor is elected and qualified or until such director’s earlier death, resignation or removal. Directors need not be stockholders unless so required by the certificate of incorporation or these bylaws. The Corporation may also have, at the discretion of the Board, a chairperson of the Board and a vice chairperson of the Board. The certificate of incorporation or these bylaws may prescribe other qualifications for directors.</w:t>
      </w:r>
    </w:p>
    <w:p>
      <w:pPr>
        <w:spacing w:after="0" w:line="196"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3.4 RESIGNATION AND VACANCIES Any director may resign at any time upon notice given in writing or by electronic transmission to the chairperson of the Board or the Corporation’s chief executive officer, president or secretary. The resignation shall take effect at the time specified therein or upon the happening of an event specified therein, and if no time or event is specified, at the time of its receipt. When one or more directors so resigns and the resignation is effective at a future date or upon the happening of an event to occur on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this section in the filling of other vacancies.</w:t>
      </w:r>
    </w:p>
    <w:p>
      <w:pPr>
        <w:spacing w:after="0" w:line="15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Unless otherwise provided in the certificate of incorporation or these bylaws, and subject to the rights of the holders of any series of preferred stock, any vacancy on the Board, or any newly created directorship resulting from an increase in the authorized number of directors, shall, in each case, be filled only by a majority of the directors then in office, although less than a quorum, or by a sole remaining director. Any director appointed in accordance with the preceding sentence shall hold office for the remainder of the term of the class to which the director is appointed and until such director’s successor shall have been elected and qualified. A vacancy on the Board shall be deemed to exist in the case of the death, removal or resignation of any director.</w:t>
      </w:r>
    </w:p>
    <w:p>
      <w:pPr>
        <w:spacing w:after="0" w:line="196" w:lineRule="exact"/>
        <w:rPr>
          <w:sz w:val="20"/>
          <w:szCs w:val="20"/>
          <w:color w:val="auto"/>
        </w:rPr>
      </w:pPr>
    </w:p>
    <w:p>
      <w:pPr>
        <w:ind w:right="180" w:firstLine="648"/>
        <w:spacing w:after="0" w:line="263" w:lineRule="auto"/>
        <w:rPr>
          <w:sz w:val="20"/>
          <w:szCs w:val="20"/>
          <w:color w:val="auto"/>
        </w:rPr>
      </w:pPr>
      <w:r>
        <w:rPr>
          <w:rFonts w:ascii="Arial" w:cs="Arial" w:eastAsia="Arial" w:hAnsi="Arial"/>
          <w:sz w:val="22"/>
          <w:szCs w:val="22"/>
          <w:color w:val="auto"/>
        </w:rPr>
        <w:t>3.5 PLACE OF MEETINGS; MEETINGS BY TELEPHONE The Board may hold meetings, both regular and special, either within or outside the State of Delaware.</w:t>
      </w:r>
    </w:p>
    <w:p>
      <w:pPr>
        <w:spacing w:after="0" w:line="17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Unless otherwise restricted by the certificate of incorporation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pursuant to this bylaw shall constitute presence in person at the meeting.</w:t>
      </w:r>
    </w:p>
    <w:p>
      <w:pPr>
        <w:spacing w:after="0" w:line="142" w:lineRule="exact"/>
        <w:rPr>
          <w:sz w:val="20"/>
          <w:szCs w:val="20"/>
          <w:color w:val="auto"/>
        </w:rPr>
      </w:pPr>
    </w:p>
    <w:p>
      <w:pPr>
        <w:ind w:right="180" w:firstLine="648"/>
        <w:spacing w:after="0" w:line="263" w:lineRule="auto"/>
        <w:rPr>
          <w:sz w:val="20"/>
          <w:szCs w:val="20"/>
          <w:color w:val="auto"/>
        </w:rPr>
      </w:pPr>
      <w:r>
        <w:rPr>
          <w:rFonts w:ascii="Arial" w:cs="Arial" w:eastAsia="Arial" w:hAnsi="Arial"/>
          <w:sz w:val="22"/>
          <w:szCs w:val="22"/>
          <w:color w:val="auto"/>
        </w:rPr>
        <w:t>3.6 REGULAR MEETINGS Regular meetings of the Board may be held without notice at such time and at such place as shall from time to time be determined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28" w:right="339" w:bottom="1440" w:gutter="0" w:footer="0" w:header="0"/>
        </w:sectPr>
      </w:pPr>
    </w:p>
    <w:bookmarkStart w:id="33" w:name="page34"/>
    <w:bookmarkEnd w:id="33"/>
    <w:p>
      <w:pPr>
        <w:ind w:right="140"/>
        <w:spacing w:after="0" w:line="343" w:lineRule="auto"/>
        <w:rPr>
          <w:sz w:val="20"/>
          <w:szCs w:val="20"/>
          <w:color w:val="auto"/>
        </w:rPr>
      </w:pPr>
      <w:r>
        <w:rPr>
          <w:rFonts w:ascii="Arial" w:cs="Arial" w:eastAsia="Arial" w:hAnsi="Arial"/>
          <w:sz w:val="19"/>
          <w:szCs w:val="19"/>
          <w:i w:val="1"/>
          <w:iCs w:val="1"/>
          <w:u w:val="single" w:color="auto"/>
          <w:color w:val="auto"/>
        </w:rPr>
        <w:t>provided</w:t>
      </w:r>
      <w:r>
        <w:rPr>
          <w:rFonts w:ascii="Arial" w:cs="Arial" w:eastAsia="Arial" w:hAnsi="Arial"/>
          <w:sz w:val="19"/>
          <w:szCs w:val="19"/>
          <w:i w:val="1"/>
          <w:iCs w:val="1"/>
          <w:color w:val="auto"/>
        </w:rPr>
        <w:t xml:space="preserve"> </w:t>
      </w:r>
      <w:r>
        <w:rPr>
          <w:rFonts w:ascii="Arial" w:cs="Arial" w:eastAsia="Arial" w:hAnsi="Arial"/>
          <w:sz w:val="19"/>
          <w:szCs w:val="19"/>
          <w:color w:val="auto"/>
        </w:rPr>
        <w:t>that any director who is absent when such determination is made shall be given notice of the determination. A regular</w:t>
      </w:r>
      <w:r>
        <w:rPr>
          <w:rFonts w:ascii="Arial" w:cs="Arial" w:eastAsia="Arial" w:hAnsi="Arial"/>
          <w:sz w:val="19"/>
          <w:szCs w:val="19"/>
          <w:i w:val="1"/>
          <w:iCs w:val="1"/>
          <w:color w:val="auto"/>
        </w:rPr>
        <w:t xml:space="preserve"> </w:t>
      </w:r>
      <w:r>
        <w:rPr>
          <w:rFonts w:ascii="Arial" w:cs="Arial" w:eastAsia="Arial" w:hAnsi="Arial"/>
          <w:sz w:val="19"/>
          <w:szCs w:val="19"/>
          <w:color w:val="auto"/>
        </w:rPr>
        <w:t>meeting of the Board may be held without notice immediately after and at the same place as the annual meeting of stockholders.</w:t>
      </w:r>
    </w:p>
    <w:p>
      <w:pPr>
        <w:spacing w:after="0" w:line="104" w:lineRule="exact"/>
        <w:rPr>
          <w:sz w:val="20"/>
          <w:szCs w:val="20"/>
          <w:color w:val="auto"/>
        </w:rPr>
      </w:pPr>
    </w:p>
    <w:p>
      <w:pPr>
        <w:ind w:right="360" w:firstLine="648"/>
        <w:spacing w:after="0" w:line="253" w:lineRule="auto"/>
        <w:rPr>
          <w:sz w:val="20"/>
          <w:szCs w:val="20"/>
          <w:color w:val="auto"/>
        </w:rPr>
      </w:pPr>
      <w:r>
        <w:rPr>
          <w:rFonts w:ascii="Arial" w:cs="Arial" w:eastAsia="Arial" w:hAnsi="Arial"/>
          <w:sz w:val="22"/>
          <w:szCs w:val="22"/>
          <w:color w:val="auto"/>
        </w:rPr>
        <w:t>3.7 SPECIAL MEETINGS; NOTICE Special meetings of the Board for any purpose or purposes may be held at any time and place as determined by the chairperson of the Board, the chief executive officer, the president, the secretary or a majority of the directors then in office.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Notice of the time and place of special meetings shall be:</w:t>
      </w:r>
    </w:p>
    <w:p>
      <w:pPr>
        <w:spacing w:after="0" w:line="220" w:lineRule="exact"/>
        <w:rPr>
          <w:sz w:val="20"/>
          <w:szCs w:val="20"/>
          <w:color w:val="auto"/>
        </w:rPr>
      </w:pPr>
    </w:p>
    <w:p>
      <w:pPr>
        <w:ind w:left="1760" w:hanging="456"/>
        <w:spacing w:after="0"/>
        <w:tabs>
          <w:tab w:leader="none" w:pos="17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delivered personally by hand, by courier or by telephone;</w:t>
      </w:r>
    </w:p>
    <w:p>
      <w:pPr>
        <w:spacing w:after="0" w:line="219" w:lineRule="exact"/>
        <w:rPr>
          <w:rFonts w:ascii="Arial" w:cs="Arial" w:eastAsia="Arial" w:hAnsi="Arial"/>
          <w:sz w:val="22"/>
          <w:szCs w:val="22"/>
          <w:color w:val="auto"/>
        </w:rPr>
      </w:pPr>
    </w:p>
    <w:p>
      <w:pPr>
        <w:ind w:left="1780" w:hanging="476"/>
        <w:spacing w:after="0"/>
        <w:tabs>
          <w:tab w:leader="none" w:pos="17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sent by United States first-class mail, postage prepaid;</w:t>
      </w:r>
    </w:p>
    <w:p>
      <w:pPr>
        <w:spacing w:after="0" w:line="219" w:lineRule="exact"/>
        <w:rPr>
          <w:rFonts w:ascii="Arial" w:cs="Arial" w:eastAsia="Arial" w:hAnsi="Arial"/>
          <w:sz w:val="22"/>
          <w:szCs w:val="22"/>
          <w:color w:val="auto"/>
        </w:rPr>
      </w:pPr>
    </w:p>
    <w:p>
      <w:pPr>
        <w:ind w:left="1760" w:hanging="456"/>
        <w:spacing w:after="0"/>
        <w:tabs>
          <w:tab w:leader="none" w:pos="17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sent by facsimile; or</w:t>
      </w:r>
    </w:p>
    <w:p>
      <w:pPr>
        <w:spacing w:after="0" w:line="219" w:lineRule="exact"/>
        <w:rPr>
          <w:rFonts w:ascii="Arial" w:cs="Arial" w:eastAsia="Arial" w:hAnsi="Arial"/>
          <w:sz w:val="22"/>
          <w:szCs w:val="22"/>
          <w:color w:val="auto"/>
        </w:rPr>
      </w:pPr>
    </w:p>
    <w:p>
      <w:pPr>
        <w:ind w:left="1780" w:hanging="476"/>
        <w:spacing w:after="0"/>
        <w:tabs>
          <w:tab w:leader="none" w:pos="17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sent by electronic mail, electronic transmission or other similar means,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 each case, directed to each director at that director’s address, telephone number, facsimile number or electronic mail or other electronic address, as the case may be, as shown on the Corporation’s records.</w:t>
      </w:r>
    </w:p>
    <w:p>
      <w:pPr>
        <w:spacing w:after="0" w:line="17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If the notice is (a) delivered personally by hand, by courier or by telephone, (b) sent by facsimile or (c) sent by electronic mail, electronic transmission or other similar means, it shall be delivered or sent at least twenty-four (24) hours before the time of the holding of the meeting. If the notice is sent by United States mail, it shall be deposited in the United States mail at least four</w:t>
      </w:r>
    </w:p>
    <w:p>
      <w:pPr>
        <w:spacing w:after="0" w:line="1" w:lineRule="exact"/>
        <w:rPr>
          <w:sz w:val="20"/>
          <w:szCs w:val="20"/>
          <w:color w:val="auto"/>
        </w:rPr>
      </w:pPr>
    </w:p>
    <w:p>
      <w:pPr>
        <w:ind w:firstLine="8"/>
        <w:spacing w:after="0" w:line="246" w:lineRule="auto"/>
        <w:tabs>
          <w:tab w:leader="none" w:pos="314" w:val="left"/>
        </w:tabs>
        <w:numPr>
          <w:ilvl w:val="0"/>
          <w:numId w:val="27"/>
        </w:numPr>
        <w:rPr>
          <w:rFonts w:ascii="Arial" w:cs="Arial" w:eastAsia="Arial" w:hAnsi="Arial"/>
          <w:sz w:val="22"/>
          <w:szCs w:val="22"/>
          <w:color w:val="auto"/>
        </w:rPr>
      </w:pPr>
      <w:r>
        <w:rPr>
          <w:rFonts w:ascii="Arial" w:cs="Arial" w:eastAsia="Arial" w:hAnsi="Arial"/>
          <w:sz w:val="22"/>
          <w:szCs w:val="22"/>
          <w:color w:val="auto"/>
        </w:rPr>
        <w:t>days before the time of the holding of the meeting. The notice need not specify the place of the meeting (if the meeting is to be held at the Corporation’s principal executive office) nor the purpose of the meeting.</w:t>
      </w:r>
    </w:p>
    <w:p>
      <w:pPr>
        <w:spacing w:after="0" w:line="192" w:lineRule="exact"/>
        <w:rPr>
          <w:sz w:val="20"/>
          <w:szCs w:val="20"/>
          <w:color w:val="auto"/>
        </w:rPr>
      </w:pPr>
    </w:p>
    <w:p>
      <w:pPr>
        <w:ind w:right="20" w:firstLine="648"/>
        <w:spacing w:after="0" w:line="247" w:lineRule="auto"/>
        <w:rPr>
          <w:sz w:val="20"/>
          <w:szCs w:val="20"/>
          <w:color w:val="auto"/>
        </w:rPr>
      </w:pPr>
      <w:r>
        <w:rPr>
          <w:rFonts w:ascii="Arial" w:cs="Arial" w:eastAsia="Arial" w:hAnsi="Arial"/>
          <w:sz w:val="22"/>
          <w:szCs w:val="22"/>
          <w:color w:val="auto"/>
        </w:rPr>
        <w:t>3.8 QUORUM At all meetings of the Board, a majority of the number of directors fixed by the Board pursuant to Section 3.2 of these bylaws shall constitute a quorum for the transaction of business. The vote of a majority of the directors present at any meeting at which a quorum is present shall be the act of the Board, except as may be otherwise specifically provided by statute, the certificate of incorporation or these bylaws. If a quorum is not present at any meeting of the Board, then a majority of the directors present thereat may adjourn the meeting from time to time, without further notice other than announcement at the meeting, until a quorum is present.</w:t>
      </w:r>
    </w:p>
    <w:p>
      <w:pPr>
        <w:spacing w:after="0" w:line="193" w:lineRule="exact"/>
        <w:rPr>
          <w:sz w:val="20"/>
          <w:szCs w:val="20"/>
          <w:color w:val="auto"/>
        </w:rPr>
      </w:pPr>
    </w:p>
    <w:p>
      <w:pPr>
        <w:ind w:right="80" w:firstLine="648"/>
        <w:spacing w:after="0" w:line="247" w:lineRule="auto"/>
        <w:rPr>
          <w:sz w:val="20"/>
          <w:szCs w:val="20"/>
          <w:color w:val="auto"/>
        </w:rPr>
      </w:pPr>
      <w:r>
        <w:rPr>
          <w:rFonts w:ascii="Arial" w:cs="Arial" w:eastAsia="Arial" w:hAnsi="Arial"/>
          <w:sz w:val="22"/>
          <w:szCs w:val="22"/>
          <w:color w:val="auto"/>
        </w:rPr>
        <w:t>3.9 BOARD ACTION BY CONSENT WITHOUT A MEETING 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and any consent may be documented, signed and delivered in any manner not prohibited by applicable law, including but not limited to any manner permitted by Section 116 of the DGCL. After the action is taken, the consent or consents shall be filed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28" w:right="339" w:bottom="1440" w:gutter="0" w:footer="0" w:header="0"/>
        </w:sectPr>
      </w:pPr>
    </w:p>
    <w:bookmarkStart w:id="34" w:name="page35"/>
    <w:bookmarkEnd w:id="34"/>
    <w:p>
      <w:pPr>
        <w:spacing w:after="0"/>
        <w:rPr>
          <w:sz w:val="20"/>
          <w:szCs w:val="20"/>
          <w:color w:val="auto"/>
        </w:rPr>
      </w:pPr>
      <w:r>
        <w:rPr>
          <w:rFonts w:ascii="Arial" w:cs="Arial" w:eastAsia="Arial" w:hAnsi="Arial"/>
          <w:sz w:val="19"/>
          <w:szCs w:val="19"/>
          <w:color w:val="auto"/>
        </w:rPr>
        <w:t>the minutes of proceedings of the Board or committee in the same paper or electronic form as the minutes are maintained.</w:t>
      </w:r>
    </w:p>
    <w:p>
      <w:pPr>
        <w:spacing w:after="0" w:line="254" w:lineRule="exact"/>
        <w:rPr>
          <w:sz w:val="20"/>
          <w:szCs w:val="20"/>
          <w:color w:val="auto"/>
        </w:rPr>
      </w:pPr>
    </w:p>
    <w:p>
      <w:pPr>
        <w:ind w:right="40" w:firstLine="648"/>
        <w:spacing w:after="0" w:line="253" w:lineRule="auto"/>
        <w:rPr>
          <w:sz w:val="20"/>
          <w:szCs w:val="20"/>
          <w:color w:val="auto"/>
        </w:rPr>
      </w:pPr>
      <w:r>
        <w:rPr>
          <w:rFonts w:ascii="Arial" w:cs="Arial" w:eastAsia="Arial" w:hAnsi="Arial"/>
          <w:sz w:val="22"/>
          <w:szCs w:val="22"/>
          <w:color w:val="auto"/>
        </w:rPr>
        <w:t>3.10 FEES AND COMPENSATION OF DIRECTORS Unless otherwise restricted by the certificate of incorporation or these bylaws, the Board shall have the authority to fix the compensation, including fees and reimbursement of expenses, of directors for services to the Corporation in any capacity.</w:t>
      </w:r>
    </w:p>
    <w:p>
      <w:pPr>
        <w:spacing w:after="0" w:line="185" w:lineRule="exact"/>
        <w:rPr>
          <w:sz w:val="20"/>
          <w:szCs w:val="20"/>
          <w:color w:val="auto"/>
        </w:rPr>
      </w:pPr>
    </w:p>
    <w:p>
      <w:pPr>
        <w:ind w:right="200" w:firstLine="648"/>
        <w:spacing w:after="0" w:line="263" w:lineRule="auto"/>
        <w:rPr>
          <w:sz w:val="20"/>
          <w:szCs w:val="20"/>
          <w:color w:val="auto"/>
        </w:rPr>
      </w:pPr>
      <w:r>
        <w:rPr>
          <w:rFonts w:ascii="Arial" w:cs="Arial" w:eastAsia="Arial" w:hAnsi="Arial"/>
          <w:sz w:val="21"/>
          <w:szCs w:val="21"/>
          <w:color w:val="auto"/>
        </w:rPr>
        <w:t>3.11 REMOVAL OF DIRECTORS Subject to the rights of the holders of the shares of any series of preferred stock of the Corporation and except for additional directors, if any, as are elected by the holders of any series of preferred stock as provided for or fixed pursuant to the certificate of incorporation, the Board or any individual director may be removed from office only for cause and only by the affirmative vote of the holders of at least two-thirds in voting power of the outstanding shares of capital stock of the Corporation entitled to vote at an election of directors.</w:t>
      </w:r>
    </w:p>
    <w:p>
      <w:pPr>
        <w:spacing w:after="0" w:line="169" w:lineRule="exact"/>
        <w:rPr>
          <w:sz w:val="20"/>
          <w:szCs w:val="20"/>
          <w:color w:val="auto"/>
        </w:rPr>
      </w:pPr>
    </w:p>
    <w:p>
      <w:pPr>
        <w:jc w:val="center"/>
        <w:ind w:left="640"/>
        <w:spacing w:after="0"/>
        <w:rPr>
          <w:sz w:val="20"/>
          <w:szCs w:val="20"/>
          <w:color w:val="auto"/>
        </w:rPr>
      </w:pPr>
      <w:r>
        <w:rPr>
          <w:rFonts w:ascii="Arial" w:cs="Arial" w:eastAsia="Arial" w:hAnsi="Arial"/>
          <w:sz w:val="22"/>
          <w:szCs w:val="22"/>
          <w:b w:val="1"/>
          <w:bCs w:val="1"/>
          <w:color w:val="auto"/>
        </w:rPr>
        <w:t>ARTICLE IV - COMMITTEES</w:t>
      </w:r>
    </w:p>
    <w:p>
      <w:pPr>
        <w:spacing w:after="0" w:line="226"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4.1 COMMITTEES OF DIRECTORS The Board may designate one (1) or more committees, each committee to consist of one (1) or more of the directors of the Corporation. The Board may designate one (1)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permitted by law and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 (a) approve or adopt, or recommend to the stockholders, any action or matter (other than the election or removal of directors) expressly required by the DGCL to be submitted to stockholders for approval, or (b) adopt, amend or repeal any bylaw of the Corporation.</w:t>
      </w:r>
    </w:p>
    <w:p>
      <w:pPr>
        <w:spacing w:after="0" w:line="163" w:lineRule="exact"/>
        <w:rPr>
          <w:sz w:val="20"/>
          <w:szCs w:val="20"/>
          <w:color w:val="auto"/>
        </w:rPr>
      </w:pPr>
    </w:p>
    <w:p>
      <w:pPr>
        <w:ind w:right="360" w:firstLine="648"/>
        <w:spacing w:after="0" w:line="263" w:lineRule="auto"/>
        <w:rPr>
          <w:sz w:val="20"/>
          <w:szCs w:val="20"/>
          <w:color w:val="auto"/>
        </w:rPr>
      </w:pPr>
      <w:r>
        <w:rPr>
          <w:rFonts w:ascii="Arial" w:cs="Arial" w:eastAsia="Arial" w:hAnsi="Arial"/>
          <w:sz w:val="22"/>
          <w:szCs w:val="22"/>
          <w:color w:val="auto"/>
        </w:rPr>
        <w:t>4.2 COMMITTEE MINUTES Each committee shall keep regular minutes of its meetings and report the same to the Board when required.</w:t>
      </w:r>
    </w:p>
    <w:p>
      <w:pPr>
        <w:spacing w:after="0" w:line="175" w:lineRule="exact"/>
        <w:rPr>
          <w:sz w:val="20"/>
          <w:szCs w:val="20"/>
          <w:color w:val="auto"/>
        </w:rPr>
      </w:pPr>
    </w:p>
    <w:p>
      <w:pPr>
        <w:ind w:right="360" w:firstLine="648"/>
        <w:spacing w:after="0" w:line="263" w:lineRule="auto"/>
        <w:rPr>
          <w:sz w:val="20"/>
          <w:szCs w:val="20"/>
          <w:color w:val="auto"/>
        </w:rPr>
      </w:pPr>
      <w:r>
        <w:rPr>
          <w:rFonts w:ascii="Arial" w:cs="Arial" w:eastAsia="Arial" w:hAnsi="Arial"/>
          <w:sz w:val="22"/>
          <w:szCs w:val="22"/>
          <w:color w:val="auto"/>
        </w:rPr>
        <w:t>4.3 MEETINGS AND ACTION OF COMMITTEES Meetings and actions of committees shall be governed by, and held and taken in accordance with, the provisions of:</w:t>
      </w:r>
    </w:p>
    <w:p>
      <w:pPr>
        <w:spacing w:after="0" w:line="175" w:lineRule="exact"/>
        <w:rPr>
          <w:sz w:val="20"/>
          <w:szCs w:val="20"/>
          <w:color w:val="auto"/>
        </w:rPr>
      </w:pPr>
    </w:p>
    <w:p>
      <w:pPr>
        <w:ind w:left="1760" w:hanging="456"/>
        <w:spacing w:after="0"/>
        <w:tabs>
          <w:tab w:leader="none" w:pos="17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Section 3.5 of these bylaws (place of meetings and meetings by telephone);</w:t>
      </w:r>
    </w:p>
    <w:p>
      <w:pPr>
        <w:spacing w:after="0" w:line="219" w:lineRule="exact"/>
        <w:rPr>
          <w:rFonts w:ascii="Arial" w:cs="Arial" w:eastAsia="Arial" w:hAnsi="Arial"/>
          <w:sz w:val="22"/>
          <w:szCs w:val="22"/>
          <w:color w:val="auto"/>
        </w:rPr>
      </w:pPr>
    </w:p>
    <w:p>
      <w:pPr>
        <w:ind w:left="1780" w:hanging="476"/>
        <w:spacing w:after="0"/>
        <w:tabs>
          <w:tab w:leader="none" w:pos="17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Section 3.6 of these bylaws (regular meetings);</w:t>
      </w:r>
    </w:p>
    <w:p>
      <w:pPr>
        <w:spacing w:after="0" w:line="219" w:lineRule="exact"/>
        <w:rPr>
          <w:rFonts w:ascii="Arial" w:cs="Arial" w:eastAsia="Arial" w:hAnsi="Arial"/>
          <w:sz w:val="22"/>
          <w:szCs w:val="22"/>
          <w:color w:val="auto"/>
        </w:rPr>
      </w:pPr>
    </w:p>
    <w:p>
      <w:pPr>
        <w:ind w:left="1760" w:hanging="456"/>
        <w:spacing w:after="0"/>
        <w:tabs>
          <w:tab w:leader="none" w:pos="17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Section 3.7 of these bylaws (special meetings and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00"/>
          </w:cols>
          <w:pgMar w:left="320" w:top="1428" w:right="379" w:bottom="1440" w:gutter="0" w:footer="0" w:header="0"/>
        </w:sectPr>
      </w:pPr>
    </w:p>
    <w:bookmarkStart w:id="35" w:name="page36"/>
    <w:bookmarkEnd w:id="35"/>
    <w:p>
      <w:pPr>
        <w:ind w:left="1780" w:hanging="476"/>
        <w:spacing w:after="0"/>
        <w:tabs>
          <w:tab w:leader="none" w:pos="17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Section 3.8 of these bylaws (quorum);</w:t>
      </w:r>
    </w:p>
    <w:p>
      <w:pPr>
        <w:spacing w:after="0" w:line="219" w:lineRule="exact"/>
        <w:rPr>
          <w:rFonts w:ascii="Arial" w:cs="Arial" w:eastAsia="Arial" w:hAnsi="Arial"/>
          <w:sz w:val="22"/>
          <w:szCs w:val="22"/>
          <w:color w:val="auto"/>
        </w:rPr>
      </w:pPr>
    </w:p>
    <w:p>
      <w:pPr>
        <w:ind w:left="1760" w:hanging="456"/>
        <w:spacing w:after="0"/>
        <w:tabs>
          <w:tab w:leader="none" w:pos="1760" w:val="left"/>
        </w:tabs>
        <w:numPr>
          <w:ilvl w:val="0"/>
          <w:numId w:val="29"/>
        </w:numPr>
        <w:rPr>
          <w:rFonts w:ascii="Arial" w:cs="Arial" w:eastAsia="Arial" w:hAnsi="Arial"/>
          <w:sz w:val="22"/>
          <w:szCs w:val="22"/>
          <w:color w:val="auto"/>
        </w:rPr>
      </w:pPr>
      <w:r>
        <w:rPr>
          <w:rFonts w:ascii="Arial" w:cs="Arial" w:eastAsia="Arial" w:hAnsi="Arial"/>
          <w:sz w:val="22"/>
          <w:szCs w:val="22"/>
          <w:color w:val="auto"/>
        </w:rPr>
        <w:t>Section 3.9 of these bylaws (action without a meeting); and</w:t>
      </w:r>
    </w:p>
    <w:p>
      <w:pPr>
        <w:spacing w:after="0" w:line="219" w:lineRule="exact"/>
        <w:rPr>
          <w:rFonts w:ascii="Arial" w:cs="Arial" w:eastAsia="Arial" w:hAnsi="Arial"/>
          <w:sz w:val="22"/>
          <w:szCs w:val="22"/>
          <w:color w:val="auto"/>
        </w:rPr>
      </w:pPr>
    </w:p>
    <w:p>
      <w:pPr>
        <w:ind w:left="1740" w:hanging="436"/>
        <w:spacing w:after="0"/>
        <w:tabs>
          <w:tab w:leader="none" w:pos="1740" w:val="left"/>
        </w:tabs>
        <w:numPr>
          <w:ilvl w:val="0"/>
          <w:numId w:val="29"/>
        </w:numPr>
        <w:rPr>
          <w:rFonts w:ascii="Arial" w:cs="Arial" w:eastAsia="Arial" w:hAnsi="Arial"/>
          <w:sz w:val="22"/>
          <w:szCs w:val="22"/>
          <w:color w:val="auto"/>
        </w:rPr>
      </w:pPr>
      <w:r>
        <w:rPr>
          <w:rFonts w:ascii="Arial" w:cs="Arial" w:eastAsia="Arial" w:hAnsi="Arial"/>
          <w:sz w:val="22"/>
          <w:szCs w:val="22"/>
          <w:color w:val="auto"/>
        </w:rPr>
        <w:t>Section 7.12 of these bylaws (waiver of notice),</w:t>
      </w:r>
    </w:p>
    <w:p>
      <w:pPr>
        <w:spacing w:after="0" w:line="22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 xml:space="preserve">in each case, with such changes in the context of those bylaws as are necessary to substitute the committee and its members for the Board and its members. </w:t>
      </w:r>
      <w:r>
        <w:rPr>
          <w:rFonts w:ascii="Arial" w:cs="Arial" w:eastAsia="Arial" w:hAnsi="Arial"/>
          <w:sz w:val="22"/>
          <w:szCs w:val="22"/>
          <w:i w:val="1"/>
          <w:iCs w:val="1"/>
          <w:color w:val="auto"/>
        </w:rPr>
        <w:t>However</w:t>
      </w:r>
      <w:r>
        <w:rPr>
          <w:rFonts w:ascii="Arial" w:cs="Arial" w:eastAsia="Arial" w:hAnsi="Arial"/>
          <w:sz w:val="22"/>
          <w:szCs w:val="22"/>
          <w:color w:val="auto"/>
        </w:rPr>
        <w:t>:</w:t>
      </w:r>
    </w:p>
    <w:p>
      <w:pPr>
        <w:spacing w:after="0" w:line="175" w:lineRule="exact"/>
        <w:rPr>
          <w:sz w:val="20"/>
          <w:szCs w:val="20"/>
          <w:color w:val="auto"/>
        </w:rPr>
      </w:pPr>
    </w:p>
    <w:p>
      <w:pPr>
        <w:ind w:left="1300" w:firstLine="652"/>
        <w:spacing w:after="0" w:line="263" w:lineRule="auto"/>
        <w:tabs>
          <w:tab w:leader="none" w:pos="2381"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time of regular meetings of committees may be determined either by resolution of the Board or by resolution of the committee;</w:t>
      </w:r>
    </w:p>
    <w:p>
      <w:pPr>
        <w:spacing w:after="0" w:line="174" w:lineRule="exact"/>
        <w:rPr>
          <w:rFonts w:ascii="Arial" w:cs="Arial" w:eastAsia="Arial" w:hAnsi="Arial"/>
          <w:sz w:val="22"/>
          <w:szCs w:val="22"/>
          <w:color w:val="auto"/>
        </w:rPr>
      </w:pPr>
    </w:p>
    <w:p>
      <w:pPr>
        <w:ind w:left="2440" w:hanging="488"/>
        <w:spacing w:after="0"/>
        <w:tabs>
          <w:tab w:leader="none" w:pos="2440" w:val="left"/>
        </w:tabs>
        <w:numPr>
          <w:ilvl w:val="0"/>
          <w:numId w:val="30"/>
        </w:numPr>
        <w:rPr>
          <w:rFonts w:ascii="Arial" w:cs="Arial" w:eastAsia="Arial" w:hAnsi="Arial"/>
          <w:sz w:val="22"/>
          <w:szCs w:val="22"/>
          <w:color w:val="auto"/>
        </w:rPr>
      </w:pPr>
      <w:r>
        <w:rPr>
          <w:rFonts w:ascii="Arial" w:cs="Arial" w:eastAsia="Arial" w:hAnsi="Arial"/>
          <w:sz w:val="22"/>
          <w:szCs w:val="22"/>
          <w:color w:val="auto"/>
        </w:rPr>
        <w:t>special meetings of committees may also be called by resolution of the Board; and</w:t>
      </w:r>
    </w:p>
    <w:p>
      <w:pPr>
        <w:spacing w:after="0" w:line="219" w:lineRule="exact"/>
        <w:rPr>
          <w:rFonts w:ascii="Arial" w:cs="Arial" w:eastAsia="Arial" w:hAnsi="Arial"/>
          <w:sz w:val="22"/>
          <w:szCs w:val="22"/>
          <w:color w:val="auto"/>
        </w:rPr>
      </w:pPr>
    </w:p>
    <w:p>
      <w:pPr>
        <w:ind w:left="1300" w:firstLine="652"/>
        <w:spacing w:after="0" w:line="263" w:lineRule="auto"/>
        <w:tabs>
          <w:tab w:leader="none" w:pos="2491" w:val="left"/>
        </w:tabs>
        <w:numPr>
          <w:ilvl w:val="0"/>
          <w:numId w:val="30"/>
        </w:numPr>
        <w:rPr>
          <w:rFonts w:ascii="Arial" w:cs="Arial" w:eastAsia="Arial" w:hAnsi="Arial"/>
          <w:sz w:val="22"/>
          <w:szCs w:val="22"/>
          <w:color w:val="auto"/>
        </w:rPr>
      </w:pPr>
      <w:r>
        <w:rPr>
          <w:rFonts w:ascii="Arial" w:cs="Arial" w:eastAsia="Arial" w:hAnsi="Arial"/>
          <w:sz w:val="22"/>
          <w:szCs w:val="22"/>
          <w:color w:val="auto"/>
        </w:rPr>
        <w:t>notice of special meetings of committees shall also be given to all alternate members, who shall have the right to attend all meetings of the committee.</w:t>
      </w:r>
    </w:p>
    <w:p>
      <w:pPr>
        <w:spacing w:after="0" w:line="169"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ARTICLE V - OFFICERS</w:t>
      </w:r>
    </w:p>
    <w:p>
      <w:pPr>
        <w:spacing w:after="0" w:line="226" w:lineRule="exact"/>
        <w:rPr>
          <w:sz w:val="20"/>
          <w:szCs w:val="20"/>
          <w:color w:val="auto"/>
        </w:rPr>
      </w:pPr>
    </w:p>
    <w:p>
      <w:pPr>
        <w:ind w:right="120" w:firstLine="648"/>
        <w:spacing w:after="0" w:line="263" w:lineRule="auto"/>
        <w:rPr>
          <w:sz w:val="20"/>
          <w:szCs w:val="20"/>
          <w:color w:val="auto"/>
        </w:rPr>
      </w:pPr>
      <w:r>
        <w:rPr>
          <w:rFonts w:ascii="Arial" w:cs="Arial" w:eastAsia="Arial" w:hAnsi="Arial"/>
          <w:sz w:val="21"/>
          <w:szCs w:val="21"/>
          <w:color w:val="auto"/>
        </w:rPr>
        <w:t>5.1 OFFICERS The officers of the Corporation shall include a president and a secretary. The Corporation may also have, at the discretion of the Board, a chairperson of the Board, a vice chairperson of the Board, a chief executive officer, a chief financial officer, a treasurer, one (1) or more vice presidents, one (1) or more assistant vice presidents, one (1) or more assistant treasurers, one (1) or more assistant secretaries, and any such other officers as may be appointed in accordance with the provisions of these bylaws. Any number of offices may be held by the same person.</w:t>
      </w:r>
    </w:p>
    <w:p>
      <w:pPr>
        <w:spacing w:after="0" w:line="175" w:lineRule="exact"/>
        <w:rPr>
          <w:sz w:val="20"/>
          <w:szCs w:val="20"/>
          <w:color w:val="auto"/>
        </w:rPr>
      </w:pPr>
    </w:p>
    <w:p>
      <w:pPr>
        <w:ind w:right="280" w:firstLine="648"/>
        <w:spacing w:after="0" w:line="302" w:lineRule="auto"/>
        <w:rPr>
          <w:sz w:val="20"/>
          <w:szCs w:val="20"/>
          <w:color w:val="auto"/>
        </w:rPr>
      </w:pPr>
      <w:r>
        <w:rPr>
          <w:rFonts w:ascii="Arial" w:cs="Arial" w:eastAsia="Arial" w:hAnsi="Arial"/>
          <w:sz w:val="19"/>
          <w:szCs w:val="19"/>
          <w:color w:val="auto"/>
        </w:rPr>
        <w:t>5.2 APPOINTMENT OF OFFICERS; SUBORDINATE OFFICERS The Board shall appoint the officers of the Corporation. The Board may appoint, or empower the chief executive officer or, in the absence of a chief executive officer, the president, to appoint, such other officers and agents as the business of the Corporation may require. Each of such officers shall hold office for such period, as is provided in these bylaws or as the Board may from time to time determine.</w:t>
      </w:r>
    </w:p>
    <w:p>
      <w:pPr>
        <w:spacing w:after="0" w:line="142" w:lineRule="exact"/>
        <w:rPr>
          <w:sz w:val="20"/>
          <w:szCs w:val="20"/>
          <w:color w:val="auto"/>
        </w:rPr>
      </w:pPr>
    </w:p>
    <w:p>
      <w:pPr>
        <w:jc w:val="both"/>
        <w:ind w:right="220" w:firstLine="648"/>
        <w:spacing w:after="0" w:line="271" w:lineRule="auto"/>
        <w:rPr>
          <w:sz w:val="20"/>
          <w:szCs w:val="20"/>
          <w:color w:val="auto"/>
        </w:rPr>
      </w:pPr>
      <w:r>
        <w:rPr>
          <w:rFonts w:ascii="Arial" w:cs="Arial" w:eastAsia="Arial" w:hAnsi="Arial"/>
          <w:sz w:val="21"/>
          <w:szCs w:val="21"/>
          <w:color w:val="auto"/>
        </w:rPr>
        <w:t>5.3 REMOVAL AND RESIGNATION OF OFFICERS Subject to the rights, if any, of an officer under any contract of employment, any officer may be removed, either with or without cause, by the Board or, except in the case of an officer chosen by the Board, by any officer upon whom such power of removal may be conferred by the Board.</w:t>
      </w:r>
    </w:p>
    <w:p>
      <w:pPr>
        <w:spacing w:after="0" w:line="16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Any officer may resign at any time by giving notice in writing or by electronic transmission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28" w:right="339" w:bottom="1440" w:gutter="0" w:footer="0" w:header="0"/>
        </w:sectPr>
      </w:pPr>
    </w:p>
    <w:bookmarkStart w:id="36" w:name="page37"/>
    <w:bookmarkEnd w:id="36"/>
    <w:p>
      <w:pPr>
        <w:ind w:right="120" w:firstLine="648"/>
        <w:spacing w:after="0" w:line="263" w:lineRule="auto"/>
        <w:rPr>
          <w:sz w:val="20"/>
          <w:szCs w:val="20"/>
          <w:color w:val="auto"/>
        </w:rPr>
      </w:pPr>
      <w:r>
        <w:rPr>
          <w:rFonts w:ascii="Arial" w:cs="Arial" w:eastAsia="Arial" w:hAnsi="Arial"/>
          <w:sz w:val="22"/>
          <w:szCs w:val="22"/>
          <w:color w:val="auto"/>
        </w:rPr>
        <w:t>5.4 VACANCIES IN OFFICES Any vacancy occurring in any office of the Corporation shall be filled by the Board or as provided in Section 5.2 of these bylaws.</w:t>
      </w:r>
    </w:p>
    <w:p>
      <w:pPr>
        <w:spacing w:after="0" w:line="175" w:lineRule="exact"/>
        <w:rPr>
          <w:sz w:val="20"/>
          <w:szCs w:val="20"/>
          <w:color w:val="auto"/>
        </w:rPr>
      </w:pPr>
    </w:p>
    <w:p>
      <w:pPr>
        <w:ind w:right="20" w:firstLine="648"/>
        <w:spacing w:after="0" w:line="294" w:lineRule="auto"/>
        <w:rPr>
          <w:sz w:val="20"/>
          <w:szCs w:val="20"/>
          <w:color w:val="auto"/>
        </w:rPr>
      </w:pPr>
      <w:r>
        <w:rPr>
          <w:rFonts w:ascii="Arial" w:cs="Arial" w:eastAsia="Arial" w:hAnsi="Arial"/>
          <w:sz w:val="19"/>
          <w:szCs w:val="19"/>
          <w:color w:val="auto"/>
        </w:rPr>
        <w:t>5.5 REPRESENTATION OF SHARES OF OTHER ENTITIES The chairperson of the Board, the chief executive officer, the president, any vice president, the treasurer, the secretary or assistant secretary of the Corporation, or any other person authorized by the Board or the chief executive officer, the president or a vice president, is authorized to vote, represent and exercise on behalf of the Corporation all rights incident to any and all securities of any other entity or entities standing in the name of the Corporation. The authority granted herein may be exercised either by such person directly or by any other person authorized to do so by proxy or power of attorney duly executed by such person having the authority.</w:t>
      </w:r>
    </w:p>
    <w:p>
      <w:pPr>
        <w:spacing w:after="0" w:line="149" w:lineRule="exact"/>
        <w:rPr>
          <w:sz w:val="20"/>
          <w:szCs w:val="20"/>
          <w:color w:val="auto"/>
        </w:rPr>
      </w:pPr>
    </w:p>
    <w:p>
      <w:pPr>
        <w:ind w:right="40" w:firstLine="648"/>
        <w:spacing w:after="0" w:line="312" w:lineRule="auto"/>
        <w:rPr>
          <w:sz w:val="20"/>
          <w:szCs w:val="20"/>
          <w:color w:val="auto"/>
        </w:rPr>
      </w:pPr>
      <w:r>
        <w:rPr>
          <w:rFonts w:ascii="Arial" w:cs="Arial" w:eastAsia="Arial" w:hAnsi="Arial"/>
          <w:sz w:val="19"/>
          <w:szCs w:val="19"/>
          <w:color w:val="auto"/>
        </w:rPr>
        <w:t>5.6 AUTHORITY AND DUTIES OF OFFICERS All officers of the Corporation shall respectively have such authority and perform such duties in the management of the business of the Corporation as may be designated from time to time by the Board and, to the extent not so provided, as generally pertain to their respective offices, subject to the control of the Board.</w:t>
      </w:r>
    </w:p>
    <w:p>
      <w:pPr>
        <w:spacing w:after="0" w:line="127" w:lineRule="exact"/>
        <w:rPr>
          <w:sz w:val="20"/>
          <w:szCs w:val="20"/>
          <w:color w:val="auto"/>
        </w:rPr>
      </w:pPr>
    </w:p>
    <w:p>
      <w:pPr>
        <w:jc w:val="center"/>
        <w:ind w:left="640"/>
        <w:spacing w:after="0"/>
        <w:rPr>
          <w:sz w:val="20"/>
          <w:szCs w:val="20"/>
          <w:color w:val="auto"/>
        </w:rPr>
      </w:pPr>
      <w:r>
        <w:rPr>
          <w:rFonts w:ascii="Arial" w:cs="Arial" w:eastAsia="Arial" w:hAnsi="Arial"/>
          <w:sz w:val="22"/>
          <w:szCs w:val="22"/>
          <w:b w:val="1"/>
          <w:bCs w:val="1"/>
          <w:color w:val="auto"/>
        </w:rPr>
        <w:t>ARTICLE VI - RECORDS AND REPORTS</w:t>
      </w:r>
    </w:p>
    <w:p>
      <w:pPr>
        <w:spacing w:after="0" w:line="226"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 xml:space="preserve">6.1 MAINTENANCE OF RECORDS A stock ledger consisting of one or more records in which the names of all of the Corporation’s stockholders of record, the address and number of shares registered in the name of each such stockholder, and all issuances and transfers of stock of the Corporation are recorded in accordance with Section 224 of the DGCL shall be administered by or on behalf of the Corporation. Any records administered by or on behalf of the Corporation in the regular course of its business, including its stock ledger, books of account, and minute books, may be kept on, or by means of, or be in the form of, any information storage device, method, or one or more electronic networks or databases (including one or more distributed electronic networks or databases),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that the records so kept can be converted into clearly legible paper form within a reasonable time and, with respect to the stock ledger, that the records so kept (i) can be used to prepare the list of stockholders specified in Sections 219 and 220 of the DGCL, (ii) record the information specified in Sections 156, 159, 217(a) and 218 of the DGCL, and (iii) record transfers of stock as governed by Article 8 of the Uniform Commercial Code.</w:t>
      </w:r>
    </w:p>
    <w:p>
      <w:pPr>
        <w:spacing w:after="0" w:line="153" w:lineRule="exact"/>
        <w:rPr>
          <w:sz w:val="20"/>
          <w:szCs w:val="20"/>
          <w:color w:val="auto"/>
        </w:rPr>
      </w:pPr>
    </w:p>
    <w:p>
      <w:pPr>
        <w:jc w:val="center"/>
        <w:ind w:left="640"/>
        <w:spacing w:after="0"/>
        <w:rPr>
          <w:sz w:val="20"/>
          <w:szCs w:val="20"/>
          <w:color w:val="auto"/>
        </w:rPr>
      </w:pPr>
      <w:r>
        <w:rPr>
          <w:rFonts w:ascii="Arial" w:cs="Arial" w:eastAsia="Arial" w:hAnsi="Arial"/>
          <w:sz w:val="22"/>
          <w:szCs w:val="22"/>
          <w:b w:val="1"/>
          <w:bCs w:val="1"/>
          <w:color w:val="auto"/>
        </w:rPr>
        <w:t>ARTICLE VII - GENERAL MATTERS</w:t>
      </w:r>
    </w:p>
    <w:p>
      <w:pPr>
        <w:spacing w:after="0" w:line="226" w:lineRule="exact"/>
        <w:rPr>
          <w:sz w:val="20"/>
          <w:szCs w:val="20"/>
          <w:color w:val="auto"/>
        </w:rPr>
      </w:pPr>
    </w:p>
    <w:p>
      <w:pPr>
        <w:ind w:right="60" w:firstLine="648"/>
        <w:spacing w:after="0" w:line="297" w:lineRule="auto"/>
        <w:rPr>
          <w:sz w:val="20"/>
          <w:szCs w:val="20"/>
          <w:color w:val="auto"/>
        </w:rPr>
      </w:pPr>
      <w:r>
        <w:rPr>
          <w:rFonts w:ascii="Arial" w:cs="Arial" w:eastAsia="Arial" w:hAnsi="Arial"/>
          <w:sz w:val="19"/>
          <w:szCs w:val="19"/>
          <w:color w:val="auto"/>
        </w:rPr>
        <w:t>7.1 EXECUTION OF CORPORATE CONTRACTS AND INSTRUMENTS The Board may authorize any officer or officers, or agent or agents, to enter into any contract or execute any instrument in the name of and on behalf of the Corporation, and such authority may be general or confined to specific instances. Unless so authorized or ratified by the Board or within the agency power of an officer, no officer, agent or employee shall have any power or authority to bind the Corporation by any contract or engagement or to pledge its credit or to render it liable for any purpose or for any amount.</w:t>
      </w:r>
    </w:p>
    <w:p>
      <w:pPr>
        <w:spacing w:after="0" w:line="147" w:lineRule="exact"/>
        <w:rPr>
          <w:sz w:val="20"/>
          <w:szCs w:val="20"/>
          <w:color w:val="auto"/>
        </w:rPr>
      </w:pPr>
    </w:p>
    <w:p>
      <w:pPr>
        <w:ind w:right="480" w:firstLine="648"/>
        <w:spacing w:after="0" w:line="263" w:lineRule="auto"/>
        <w:rPr>
          <w:sz w:val="20"/>
          <w:szCs w:val="20"/>
          <w:color w:val="auto"/>
        </w:rPr>
      </w:pPr>
      <w:r>
        <w:rPr>
          <w:rFonts w:ascii="Arial" w:cs="Arial" w:eastAsia="Arial" w:hAnsi="Arial"/>
          <w:sz w:val="22"/>
          <w:szCs w:val="22"/>
          <w:color w:val="auto"/>
        </w:rPr>
        <w:t>7.2 ELECTRONIC SIGNATURES, ETC. Except as otherwise required by the certificate of incorporation or these bylaws (including, without limitation, as otherwise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160"/>
          </w:cols>
          <w:pgMar w:left="320" w:top="1428" w:right="419" w:bottom="1440" w:gutter="0" w:footer="0" w:header="0"/>
        </w:sectPr>
      </w:pPr>
    </w:p>
    <w:bookmarkStart w:id="37" w:name="page38"/>
    <w:bookmarkEnd w:id="37"/>
    <w:p>
      <w:pPr>
        <w:ind w:right="140"/>
        <w:spacing w:after="0" w:line="297" w:lineRule="auto"/>
        <w:rPr>
          <w:sz w:val="20"/>
          <w:szCs w:val="20"/>
          <w:color w:val="auto"/>
        </w:rPr>
      </w:pPr>
      <w:r>
        <w:rPr>
          <w:rFonts w:ascii="Arial" w:cs="Arial" w:eastAsia="Arial" w:hAnsi="Arial"/>
          <w:sz w:val="19"/>
          <w:szCs w:val="19"/>
          <w:color w:val="auto"/>
        </w:rPr>
        <w:t>by Section 2.18), any document, including, without limitation, any consent, agreement, certificate or instrument, required by the DGCL, the certificate of incorporation or these bylaws to be executed by any officer, director, stockholder, employee or agent of the Corporation may be executed using a facsimile or other form of electronic signature to the fullest extent permitted by applicable law. All other contracts, agreements, certificates or instruments to be executed on behalf of the Corporation may be executed using a facsimile or other form of electronic signature to the fullest extent permitted by applicable law.</w:t>
      </w:r>
    </w:p>
    <w:p>
      <w:pPr>
        <w:spacing w:after="0" w:line="147" w:lineRule="exact"/>
        <w:rPr>
          <w:sz w:val="20"/>
          <w:szCs w:val="20"/>
          <w:color w:val="auto"/>
        </w:rPr>
      </w:pPr>
    </w:p>
    <w:p>
      <w:pPr>
        <w:ind w:right="20" w:firstLine="648"/>
        <w:spacing w:after="0" w:line="287" w:lineRule="auto"/>
        <w:rPr>
          <w:sz w:val="20"/>
          <w:szCs w:val="20"/>
          <w:color w:val="auto"/>
        </w:rPr>
      </w:pPr>
      <w:r>
        <w:rPr>
          <w:rFonts w:ascii="Arial" w:cs="Arial" w:eastAsia="Arial" w:hAnsi="Arial"/>
          <w:sz w:val="19"/>
          <w:szCs w:val="19"/>
          <w:color w:val="auto"/>
        </w:rPr>
        <w:t xml:space="preserve">7.3 STOCK CERTIFICATES; PARTLY PAID SHARES The shares of the Corporation shall be represented by certificates,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that the Board may provide, by resolution or resolutions, that some or all of the shares of any class or series of stock shall be uncertificated. Certificates for the shares of stock, if any, shall be in such form as is consistent with the certificate of incorporation and applicable law. Every holder of stock represented by a certificate shall be entitled to have a certificate signed by, or in the name of the Corporation by, any two authorized officers of the Corporation representing the number of shares registered in certificate form. Each of the chairperson or vice chairperson of the Board, the chief executive officer, any vice president, the treasurer, any assistant treasurer, the secretary and any assistant secretary of the Corporation is specifically authorized to sign stock certificates.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such person were such officer, transfer agent or registrar at the date of issue.</w:t>
      </w:r>
    </w:p>
    <w:p>
      <w:pPr>
        <w:spacing w:after="0" w:line="16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179" w:lineRule="exact"/>
        <w:rPr>
          <w:sz w:val="20"/>
          <w:szCs w:val="20"/>
          <w:color w:val="auto"/>
        </w:rPr>
      </w:pPr>
    </w:p>
    <w:p>
      <w:pPr>
        <w:ind w:right="80" w:firstLine="648"/>
        <w:spacing w:after="0" w:line="289" w:lineRule="auto"/>
        <w:rPr>
          <w:sz w:val="20"/>
          <w:szCs w:val="20"/>
          <w:color w:val="auto"/>
        </w:rPr>
      </w:pPr>
      <w:r>
        <w:rPr>
          <w:rFonts w:ascii="Arial" w:cs="Arial" w:eastAsia="Arial" w:hAnsi="Arial"/>
          <w:sz w:val="19"/>
          <w:szCs w:val="19"/>
          <w:color w:val="auto"/>
        </w:rPr>
        <w:t xml:space="preserve">7.4 MULTIPLE CLASSES OR SERIES OF STOCK 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w:t>
      </w:r>
      <w:r>
        <w:rPr>
          <w:rFonts w:ascii="Arial" w:cs="Arial" w:eastAsia="Arial" w:hAnsi="Arial"/>
          <w:sz w:val="19"/>
          <w:szCs w:val="19"/>
          <w:i w:val="1"/>
          <w:iCs w:val="1"/>
          <w:u w:val="single" w:color="auto"/>
          <w:color w:val="auto"/>
        </w:rPr>
        <w:t>provided, however</w:t>
      </w:r>
      <w:r>
        <w:rPr>
          <w:rFonts w:ascii="Arial" w:cs="Arial" w:eastAsia="Arial" w:hAnsi="Arial"/>
          <w:sz w:val="19"/>
          <w:szCs w:val="19"/>
          <w:color w:val="auto"/>
        </w:rPr>
        <w:t>, that, except as otherwise provided in Section 202 of the DGCL,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28" w:right="339" w:bottom="1440" w:gutter="0" w:footer="0" w:header="0"/>
        </w:sectPr>
      </w:pPr>
    </w:p>
    <w:bookmarkStart w:id="38" w:name="page39"/>
    <w:bookmarkEnd w:id="38"/>
    <w:p>
      <w:pPr>
        <w:ind w:right="160"/>
        <w:spacing w:after="0" w:line="263" w:lineRule="auto"/>
        <w:rPr>
          <w:sz w:val="20"/>
          <w:szCs w:val="20"/>
          <w:color w:val="auto"/>
        </w:rPr>
      </w:pPr>
      <w:r>
        <w:rPr>
          <w:rFonts w:ascii="Arial" w:cs="Arial" w:eastAsia="Arial" w:hAnsi="Arial"/>
          <w:sz w:val="21"/>
          <w:szCs w:val="21"/>
          <w:color w:val="auto"/>
        </w:rPr>
        <w:t>Within a reasonable time after the issuance or transfer of uncertificated stock, the Corporation shall send to the registered owner thereof a written notice containing the information required to be set forth or stated on certificates pursuant to the DGCL or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75" w:lineRule="exact"/>
        <w:rPr>
          <w:sz w:val="20"/>
          <w:szCs w:val="20"/>
          <w:color w:val="auto"/>
        </w:rPr>
      </w:pPr>
    </w:p>
    <w:p>
      <w:pPr>
        <w:ind w:right="240" w:firstLine="648"/>
        <w:spacing w:after="0" w:line="260" w:lineRule="auto"/>
        <w:rPr>
          <w:sz w:val="20"/>
          <w:szCs w:val="20"/>
          <w:color w:val="auto"/>
        </w:rPr>
      </w:pPr>
      <w:r>
        <w:rPr>
          <w:rFonts w:ascii="Arial" w:cs="Arial" w:eastAsia="Arial" w:hAnsi="Arial"/>
          <w:sz w:val="21"/>
          <w:szCs w:val="21"/>
          <w:color w:val="auto"/>
        </w:rPr>
        <w:t>7.5 LOST CERTIFICATES Except as provided in this Section 7.4, no new certificates for shares shall be issued to replace a previously issued certificate unless the latter is surrendered to the Corporation in accordance with applicable law.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80" w:lineRule="exact"/>
        <w:rPr>
          <w:sz w:val="20"/>
          <w:szCs w:val="20"/>
          <w:color w:val="auto"/>
        </w:rPr>
      </w:pPr>
    </w:p>
    <w:p>
      <w:pPr>
        <w:ind w:right="300" w:firstLine="648"/>
        <w:spacing w:after="0" w:line="294" w:lineRule="auto"/>
        <w:rPr>
          <w:sz w:val="20"/>
          <w:szCs w:val="20"/>
          <w:color w:val="auto"/>
        </w:rPr>
      </w:pPr>
      <w:r>
        <w:rPr>
          <w:rFonts w:ascii="Arial" w:cs="Arial" w:eastAsia="Arial" w:hAnsi="Arial"/>
          <w:sz w:val="19"/>
          <w:szCs w:val="19"/>
          <w:color w:val="auto"/>
        </w:rPr>
        <w:t>7.6 CONSTRUCTION; DEFINITIONS 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w:t>
      </w:r>
      <w:r>
        <w:rPr>
          <w:rFonts w:ascii="Arial" w:cs="Arial" w:eastAsia="Arial" w:hAnsi="Arial"/>
          <w:sz w:val="19"/>
          <w:szCs w:val="19"/>
          <w:u w:val="single" w:color="auto"/>
          <w:color w:val="auto"/>
        </w:rPr>
        <w:t>person</w:t>
      </w:r>
      <w:r>
        <w:rPr>
          <w:rFonts w:ascii="Arial" w:cs="Arial" w:eastAsia="Arial" w:hAnsi="Arial"/>
          <w:sz w:val="19"/>
          <w:szCs w:val="19"/>
          <w:color w:val="auto"/>
        </w:rPr>
        <w:t>” means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w:t>
      </w:r>
    </w:p>
    <w:p>
      <w:pPr>
        <w:spacing w:after="0" w:line="149" w:lineRule="exact"/>
        <w:rPr>
          <w:sz w:val="20"/>
          <w:szCs w:val="20"/>
          <w:color w:val="auto"/>
        </w:rPr>
      </w:pPr>
    </w:p>
    <w:p>
      <w:pPr>
        <w:ind w:right="200" w:firstLine="648"/>
        <w:spacing w:after="0" w:line="253" w:lineRule="auto"/>
        <w:rPr>
          <w:sz w:val="20"/>
          <w:szCs w:val="20"/>
          <w:color w:val="auto"/>
        </w:rPr>
      </w:pPr>
      <w:r>
        <w:rPr>
          <w:rFonts w:ascii="Arial" w:cs="Arial" w:eastAsia="Arial" w:hAnsi="Arial"/>
          <w:sz w:val="22"/>
          <w:szCs w:val="22"/>
          <w:color w:val="auto"/>
        </w:rPr>
        <w:t>7.7 DIVIDENDS The Board, subject to any restrictions contained in either (a) the DGCL or (b) the certificate of incorporation, may declare and pay dividends upon the shares of its capital stock. Dividends may be paid in cash, in property or in shares of the Corporation’s capital stock.</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85"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22"/>
          <w:szCs w:val="22"/>
          <w:color w:val="auto"/>
        </w:rPr>
        <w:t>7.8 FISCAL YEAR The fiscal year of the Corporation shall be fixed by resolution of the Board and may be changed by the Board.</w:t>
      </w:r>
    </w:p>
    <w:p>
      <w:pPr>
        <w:spacing w:after="0" w:line="175" w:lineRule="exact"/>
        <w:rPr>
          <w:sz w:val="20"/>
          <w:szCs w:val="20"/>
          <w:color w:val="auto"/>
        </w:rPr>
      </w:pPr>
    </w:p>
    <w:p>
      <w:pPr>
        <w:jc w:val="both"/>
        <w:ind w:right="80" w:firstLine="648"/>
        <w:spacing w:after="0" w:line="253" w:lineRule="auto"/>
        <w:rPr>
          <w:sz w:val="20"/>
          <w:szCs w:val="20"/>
          <w:color w:val="auto"/>
        </w:rPr>
      </w:pPr>
      <w:r>
        <w:rPr>
          <w:rFonts w:ascii="Arial" w:cs="Arial" w:eastAsia="Arial" w:hAnsi="Arial"/>
          <w:sz w:val="22"/>
          <w:szCs w:val="22"/>
          <w:color w:val="auto"/>
        </w:rPr>
        <w:t>7.9 SEAL The Corporation may adopt a corporate seal, which shall be adopted and which may be altered by the Board. The Corporation may use the corporate seal by causing it or a facsimile thereof to be impressed or affixed or in any other manner reproduced.</w:t>
      </w:r>
    </w:p>
    <w:p>
      <w:pPr>
        <w:spacing w:after="0" w:line="185" w:lineRule="exact"/>
        <w:rPr>
          <w:sz w:val="20"/>
          <w:szCs w:val="20"/>
          <w:color w:val="auto"/>
        </w:rPr>
      </w:pPr>
    </w:p>
    <w:p>
      <w:pPr>
        <w:ind w:right="60" w:firstLine="648"/>
        <w:spacing w:after="0" w:line="253" w:lineRule="auto"/>
        <w:rPr>
          <w:sz w:val="20"/>
          <w:szCs w:val="20"/>
          <w:color w:val="auto"/>
        </w:rPr>
      </w:pPr>
      <w:r>
        <w:rPr>
          <w:rFonts w:ascii="Arial" w:cs="Arial" w:eastAsia="Arial" w:hAnsi="Arial"/>
          <w:sz w:val="22"/>
          <w:szCs w:val="22"/>
          <w:color w:val="auto"/>
        </w:rPr>
        <w:t>7.10 TRANSFER OF STOCK Shares of the Corporation shall be transferable in the manner prescribed by law and in these bylaws. Shares of stock of the Corporation shall be transferred on the books of the Corporation only by the holder of record thereof or by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28" w:right="339" w:bottom="1440" w:gutter="0" w:footer="0" w:header="0"/>
        </w:sectPr>
      </w:pPr>
    </w:p>
    <w:bookmarkStart w:id="39" w:name="page40"/>
    <w:bookmarkEnd w:id="39"/>
    <w:p>
      <w:pPr>
        <w:ind w:right="140"/>
        <w:spacing w:after="0" w:line="294" w:lineRule="auto"/>
        <w:rPr>
          <w:sz w:val="20"/>
          <w:szCs w:val="20"/>
          <w:color w:val="auto"/>
        </w:rPr>
      </w:pPr>
      <w:r>
        <w:rPr>
          <w:rFonts w:ascii="Arial" w:cs="Arial" w:eastAsia="Arial" w:hAnsi="Arial"/>
          <w:sz w:val="19"/>
          <w:szCs w:val="19"/>
          <w:color w:val="auto"/>
        </w:rPr>
        <w:t>holder’s attorney duly authorized in writing, upon surrender to the Corporation of the certificate or certificates representing such shares endorsed by the appropriate person or persons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To the fullest extent permitted by law, no transfer of stock shall be valid as against the Corporation for any purpose until it shall have been entered in the stock records of the Corporation by an entry showing the names of the persons from and to whom it was transferred.</w:t>
      </w:r>
    </w:p>
    <w:p>
      <w:pPr>
        <w:spacing w:after="0" w:line="149" w:lineRule="exact"/>
        <w:rPr>
          <w:sz w:val="20"/>
          <w:szCs w:val="20"/>
          <w:color w:val="auto"/>
        </w:rPr>
      </w:pPr>
    </w:p>
    <w:p>
      <w:pPr>
        <w:jc w:val="both"/>
        <w:ind w:right="100" w:firstLine="648"/>
        <w:spacing w:after="0" w:line="250" w:lineRule="auto"/>
        <w:rPr>
          <w:sz w:val="20"/>
          <w:szCs w:val="20"/>
          <w:color w:val="auto"/>
        </w:rPr>
      </w:pPr>
      <w:r>
        <w:rPr>
          <w:rFonts w:ascii="Arial" w:cs="Arial" w:eastAsia="Arial" w:hAnsi="Arial"/>
          <w:sz w:val="22"/>
          <w:szCs w:val="22"/>
          <w:color w:val="auto"/>
        </w:rPr>
        <w:t>7.11 STOCK TRANSFER AGREEMENTS The Corporation shall have power to enter into and perform any agreement with any number of stockholders of any one or more classes or series of stock of the Corporation to restrict the transfer of shares of stock of the Corporation of any one or more classes or series owned by such stockholders in any manner not prohibited by the DGCL.</w:t>
      </w:r>
    </w:p>
    <w:p>
      <w:pPr>
        <w:spacing w:after="0" w:line="18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7.12</w:t>
      </w:r>
      <w:r>
        <w:rPr>
          <w:sz w:val="20"/>
          <w:szCs w:val="20"/>
          <w:color w:val="auto"/>
        </w:rPr>
        <w:tab/>
      </w:r>
      <w:r>
        <w:rPr>
          <w:rFonts w:ascii="Arial" w:cs="Arial" w:eastAsia="Arial" w:hAnsi="Arial"/>
          <w:sz w:val="19"/>
          <w:szCs w:val="19"/>
          <w:color w:val="auto"/>
        </w:rPr>
        <w:t>REGISTERED STOCKHOLDERS The Corporation, to the fullest extent permitted by law:</w:t>
      </w:r>
    </w:p>
    <w:p>
      <w:pPr>
        <w:spacing w:after="0" w:line="220" w:lineRule="exact"/>
        <w:rPr>
          <w:sz w:val="20"/>
          <w:szCs w:val="20"/>
          <w:color w:val="auto"/>
        </w:rPr>
      </w:pPr>
    </w:p>
    <w:p>
      <w:pPr>
        <w:ind w:firstLine="1304"/>
        <w:spacing w:after="0" w:line="263" w:lineRule="auto"/>
        <w:tabs>
          <w:tab w:leader="none" w:pos="1822" w:val="left"/>
        </w:tabs>
        <w:numPr>
          <w:ilvl w:val="0"/>
          <w:numId w:val="31"/>
        </w:numPr>
        <w:rPr>
          <w:rFonts w:ascii="Arial" w:cs="Arial" w:eastAsia="Arial" w:hAnsi="Arial"/>
          <w:sz w:val="22"/>
          <w:szCs w:val="22"/>
          <w:color w:val="auto"/>
        </w:rPr>
      </w:pPr>
      <w:r>
        <w:rPr>
          <w:rFonts w:ascii="Arial" w:cs="Arial" w:eastAsia="Arial" w:hAnsi="Arial"/>
          <w:sz w:val="22"/>
          <w:szCs w:val="22"/>
          <w:color w:val="auto"/>
        </w:rPr>
        <w:t>shall be entitled to recognize the exclusive right of a person registered on its books as the owner of shares to receive dividends and to vote as such owner; and</w:t>
      </w:r>
    </w:p>
    <w:p>
      <w:pPr>
        <w:spacing w:after="0" w:line="174" w:lineRule="exact"/>
        <w:rPr>
          <w:rFonts w:ascii="Arial" w:cs="Arial" w:eastAsia="Arial" w:hAnsi="Arial"/>
          <w:sz w:val="22"/>
          <w:szCs w:val="22"/>
          <w:color w:val="auto"/>
        </w:rPr>
      </w:pPr>
    </w:p>
    <w:p>
      <w:pPr>
        <w:jc w:val="both"/>
        <w:ind w:firstLine="1304"/>
        <w:spacing w:after="0" w:line="253" w:lineRule="auto"/>
        <w:tabs>
          <w:tab w:leader="none" w:pos="1788" w:val="left"/>
        </w:tabs>
        <w:numPr>
          <w:ilvl w:val="0"/>
          <w:numId w:val="31"/>
        </w:numPr>
        <w:rPr>
          <w:rFonts w:ascii="Arial" w:cs="Arial" w:eastAsia="Arial" w:hAnsi="Arial"/>
          <w:sz w:val="22"/>
          <w:szCs w:val="22"/>
          <w:color w:val="auto"/>
        </w:rPr>
      </w:pPr>
      <w:r>
        <w:rPr>
          <w:rFonts w:ascii="Arial" w:cs="Arial" w:eastAsia="Arial" w:hAnsi="Arial"/>
          <w:sz w:val="22"/>
          <w:szCs w:val="22"/>
          <w:color w:val="auto"/>
        </w:rPr>
        <w:t>shall not be bound to recognize any equitable or other claim to or interest in such share or shares on the part of another person, whether or not it shall have express or other notice thereof, except as otherwise provided by the laws of the State of Delaware.</w:t>
      </w:r>
    </w:p>
    <w:p>
      <w:pPr>
        <w:spacing w:after="0" w:line="185" w:lineRule="exact"/>
        <w:rPr>
          <w:sz w:val="20"/>
          <w:szCs w:val="20"/>
          <w:color w:val="auto"/>
        </w:rPr>
      </w:pPr>
    </w:p>
    <w:p>
      <w:pPr>
        <w:ind w:firstLine="648"/>
        <w:spacing w:after="0" w:line="290" w:lineRule="auto"/>
        <w:rPr>
          <w:sz w:val="20"/>
          <w:szCs w:val="20"/>
          <w:color w:val="auto"/>
        </w:rPr>
      </w:pPr>
      <w:r>
        <w:rPr>
          <w:rFonts w:ascii="Arial" w:cs="Arial" w:eastAsia="Arial" w:hAnsi="Arial"/>
          <w:sz w:val="19"/>
          <w:szCs w:val="19"/>
          <w:color w:val="auto"/>
        </w:rPr>
        <w:t>7.13 WAIVER OF NOTICE 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or the Board need be specified in any written waiver of notice or any waiver by electronic transmission unless so required by the certificate of incorporation or these bylaws.</w:t>
      </w:r>
    </w:p>
    <w:p>
      <w:pPr>
        <w:spacing w:after="0" w:line="150" w:lineRule="exact"/>
        <w:rPr>
          <w:sz w:val="20"/>
          <w:szCs w:val="20"/>
          <w:color w:val="auto"/>
        </w:rPr>
      </w:pPr>
    </w:p>
    <w:p>
      <w:pPr>
        <w:ind w:left="2920"/>
        <w:spacing w:after="0"/>
        <w:rPr>
          <w:sz w:val="20"/>
          <w:szCs w:val="20"/>
          <w:color w:val="auto"/>
        </w:rPr>
      </w:pPr>
      <w:r>
        <w:rPr>
          <w:rFonts w:ascii="Arial" w:cs="Arial" w:eastAsia="Arial" w:hAnsi="Arial"/>
          <w:sz w:val="22"/>
          <w:szCs w:val="22"/>
          <w:b w:val="1"/>
          <w:bCs w:val="1"/>
          <w:color w:val="auto"/>
        </w:rPr>
        <w:t>ARTICLE VIII - NOTICE BY ELECTRONIC TRANSMISSION</w:t>
      </w:r>
    </w:p>
    <w:p>
      <w:pPr>
        <w:spacing w:after="0" w:line="226" w:lineRule="exact"/>
        <w:rPr>
          <w:sz w:val="20"/>
          <w:szCs w:val="20"/>
          <w:color w:val="auto"/>
        </w:rPr>
      </w:pPr>
    </w:p>
    <w:p>
      <w:pPr>
        <w:ind w:right="80" w:firstLine="648"/>
        <w:spacing w:after="0" w:line="265" w:lineRule="auto"/>
        <w:rPr>
          <w:sz w:val="20"/>
          <w:szCs w:val="20"/>
          <w:color w:val="auto"/>
        </w:rPr>
      </w:pPr>
      <w:r>
        <w:rPr>
          <w:rFonts w:ascii="Arial" w:cs="Arial" w:eastAsia="Arial" w:hAnsi="Arial"/>
          <w:sz w:val="21"/>
          <w:szCs w:val="21"/>
          <w:color w:val="auto"/>
        </w:rPr>
        <w:t>8.1 NOTICE BY ELECTRONIC TRANSMISSION Without limiting the manner by which notice otherwise may be given effectively to stockholders pursuant to the DGCL, the certificate of incorporation or these bylaws, any notice to stockholders given by the Corporation under any provision of the DGCL, the certificate of incorporation or these bylaws shall be effective if given by a form of electronic transmission in compliance with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28" w:right="339" w:bottom="1440" w:gutter="0" w:footer="0" w:header="0"/>
        </w:sectPr>
      </w:pPr>
    </w:p>
    <w:bookmarkStart w:id="40" w:name="page41"/>
    <w:bookmarkEnd w:id="40"/>
    <w:p>
      <w:pPr>
        <w:spacing w:after="0"/>
        <w:rPr>
          <w:sz w:val="20"/>
          <w:szCs w:val="20"/>
          <w:color w:val="auto"/>
        </w:rPr>
      </w:pPr>
      <w:r>
        <w:rPr>
          <w:rFonts w:ascii="Arial" w:cs="Arial" w:eastAsia="Arial" w:hAnsi="Arial"/>
          <w:sz w:val="21"/>
          <w:szCs w:val="21"/>
          <w:color w:val="auto"/>
        </w:rPr>
        <w:t>Notwithstanding the foregoing, a notice may not be delivered by electronic transmission from and after the time that:</w:t>
      </w:r>
    </w:p>
    <w:p>
      <w:pPr>
        <w:spacing w:after="0" w:line="231" w:lineRule="exact"/>
        <w:rPr>
          <w:sz w:val="20"/>
          <w:szCs w:val="20"/>
          <w:color w:val="auto"/>
        </w:rPr>
      </w:pPr>
    </w:p>
    <w:p>
      <w:pPr>
        <w:ind w:left="1880" w:hanging="576"/>
        <w:spacing w:after="0"/>
        <w:tabs>
          <w:tab w:leader="none" w:pos="188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Corporation is unable to deliver by electronic transmission two (2) consecutive notices given by the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Corporation; and</w:t>
      </w:r>
    </w:p>
    <w:p>
      <w:pPr>
        <w:spacing w:after="0" w:line="201" w:lineRule="exact"/>
        <w:rPr>
          <w:rFonts w:ascii="Arial" w:cs="Arial" w:eastAsia="Arial" w:hAnsi="Arial"/>
          <w:sz w:val="19"/>
          <w:szCs w:val="19"/>
          <w:color w:val="auto"/>
        </w:rPr>
      </w:pPr>
    </w:p>
    <w:p>
      <w:pPr>
        <w:jc w:val="both"/>
        <w:ind w:firstLine="1304"/>
        <w:spacing w:after="0" w:line="253" w:lineRule="auto"/>
        <w:tabs>
          <w:tab w:leader="none" w:pos="1805" w:val="left"/>
        </w:tabs>
        <w:numPr>
          <w:ilvl w:val="0"/>
          <w:numId w:val="32"/>
        </w:numPr>
        <w:rPr>
          <w:rFonts w:ascii="Arial" w:cs="Arial" w:eastAsia="Arial" w:hAnsi="Arial"/>
          <w:sz w:val="22"/>
          <w:szCs w:val="22"/>
          <w:color w:val="auto"/>
        </w:rPr>
      </w:pPr>
      <w:r>
        <w:rPr>
          <w:rFonts w:ascii="Arial" w:cs="Arial" w:eastAsia="Arial" w:hAnsi="Arial"/>
          <w:sz w:val="22"/>
          <w:szCs w:val="22"/>
          <w:color w:val="auto"/>
        </w:rPr>
        <w:t xml:space="preserve">such inability becomes known to the secretary or an assistant secretary of the Corporation or to the transfer agent, or other person responsible for the giving of notice; </w:t>
      </w:r>
      <w:r>
        <w:rPr>
          <w:rFonts w:ascii="Arial" w:cs="Arial" w:eastAsia="Arial" w:hAnsi="Arial"/>
          <w:sz w:val="22"/>
          <w:szCs w:val="22"/>
          <w:i w:val="1"/>
          <w:iCs w:val="1"/>
          <w:u w:val="single" w:color="auto"/>
          <w:color w:val="auto"/>
        </w:rPr>
        <w:t>provided</w:t>
      </w:r>
      <w:r>
        <w:rPr>
          <w:rFonts w:ascii="Arial" w:cs="Arial" w:eastAsia="Arial" w:hAnsi="Arial"/>
          <w:sz w:val="22"/>
          <w:szCs w:val="22"/>
          <w:color w:val="auto"/>
        </w:rPr>
        <w:t>, however, that the inadvertent failure to treat such inability shall not invalidate any meeting or other action.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notice given pursuant to the preceding paragraph shall be deemed given:</w:t>
      </w:r>
    </w:p>
    <w:p>
      <w:pPr>
        <w:spacing w:after="0" w:line="220" w:lineRule="exact"/>
        <w:rPr>
          <w:sz w:val="20"/>
          <w:szCs w:val="20"/>
          <w:color w:val="auto"/>
        </w:rPr>
      </w:pPr>
    </w:p>
    <w:p>
      <w:pPr>
        <w:ind w:left="1960" w:hanging="656"/>
        <w:spacing w:after="0" w:line="263" w:lineRule="auto"/>
        <w:tabs>
          <w:tab w:leader="none" w:pos="1864" w:val="left"/>
        </w:tabs>
        <w:numPr>
          <w:ilvl w:val="0"/>
          <w:numId w:val="33"/>
        </w:numPr>
        <w:rPr>
          <w:rFonts w:ascii="Arial" w:cs="Arial" w:eastAsia="Arial" w:hAnsi="Arial"/>
          <w:sz w:val="22"/>
          <w:szCs w:val="22"/>
          <w:color w:val="auto"/>
        </w:rPr>
      </w:pPr>
      <w:r>
        <w:rPr>
          <w:rFonts w:ascii="Arial" w:cs="Arial" w:eastAsia="Arial" w:hAnsi="Arial"/>
          <w:sz w:val="22"/>
          <w:szCs w:val="22"/>
          <w:color w:val="auto"/>
        </w:rPr>
        <w:t>if by facsimile telecommunication, when directed to a number at which the stockholder has consented to receive notice;</w:t>
      </w:r>
    </w:p>
    <w:p>
      <w:pPr>
        <w:spacing w:after="0" w:line="174" w:lineRule="exact"/>
        <w:rPr>
          <w:rFonts w:ascii="Arial" w:cs="Arial" w:eastAsia="Arial" w:hAnsi="Arial"/>
          <w:sz w:val="22"/>
          <w:szCs w:val="22"/>
          <w:color w:val="auto"/>
        </w:rPr>
      </w:pPr>
    </w:p>
    <w:p>
      <w:pPr>
        <w:ind w:left="1960" w:hanging="656"/>
        <w:spacing w:after="0" w:line="343" w:lineRule="auto"/>
        <w:tabs>
          <w:tab w:leader="none" w:pos="1882" w:val="left"/>
        </w:tabs>
        <w:numPr>
          <w:ilvl w:val="0"/>
          <w:numId w:val="33"/>
        </w:numPr>
        <w:rPr>
          <w:rFonts w:ascii="Arial" w:cs="Arial" w:eastAsia="Arial" w:hAnsi="Arial"/>
          <w:sz w:val="19"/>
          <w:szCs w:val="19"/>
          <w:color w:val="auto"/>
        </w:rPr>
      </w:pPr>
      <w:r>
        <w:rPr>
          <w:rFonts w:ascii="Arial" w:cs="Arial" w:eastAsia="Arial" w:hAnsi="Arial"/>
          <w:sz w:val="19"/>
          <w:szCs w:val="19"/>
          <w:color w:val="auto"/>
        </w:rPr>
        <w:t>if by electronic mail, when directed to an electronic mail address unless the stockholder has notified the Corporation in writing or by electronic transmission of an objection to receiving notice by electronic mail;</w:t>
      </w:r>
    </w:p>
    <w:p>
      <w:pPr>
        <w:spacing w:after="0" w:line="104" w:lineRule="exact"/>
        <w:rPr>
          <w:rFonts w:ascii="Arial" w:cs="Arial" w:eastAsia="Arial" w:hAnsi="Arial"/>
          <w:sz w:val="19"/>
          <w:szCs w:val="19"/>
          <w:color w:val="auto"/>
        </w:rPr>
      </w:pPr>
    </w:p>
    <w:p>
      <w:pPr>
        <w:ind w:left="1960" w:hanging="656"/>
        <w:spacing w:after="0" w:line="287" w:lineRule="auto"/>
        <w:tabs>
          <w:tab w:leader="none" w:pos="1860" w:val="left"/>
        </w:tabs>
        <w:numPr>
          <w:ilvl w:val="0"/>
          <w:numId w:val="33"/>
        </w:numPr>
        <w:rPr>
          <w:rFonts w:ascii="Arial" w:cs="Arial" w:eastAsia="Arial" w:hAnsi="Arial"/>
          <w:sz w:val="21"/>
          <w:szCs w:val="21"/>
          <w:color w:val="auto"/>
        </w:rPr>
      </w:pPr>
      <w:r>
        <w:rPr>
          <w:rFonts w:ascii="Arial" w:cs="Arial" w:eastAsia="Arial" w:hAnsi="Arial"/>
          <w:sz w:val="21"/>
          <w:szCs w:val="21"/>
          <w:color w:val="auto"/>
        </w:rPr>
        <w:t>if by a posting on an electronic network together with separate notice to the stockholder of such specific posting, upon the later of (i) such posting and (ii) the giving of such separate notice; and</w:t>
      </w:r>
    </w:p>
    <w:p>
      <w:pPr>
        <w:spacing w:after="0" w:line="151" w:lineRule="exact"/>
        <w:rPr>
          <w:rFonts w:ascii="Arial" w:cs="Arial" w:eastAsia="Arial" w:hAnsi="Arial"/>
          <w:sz w:val="21"/>
          <w:szCs w:val="21"/>
          <w:color w:val="auto"/>
        </w:rPr>
      </w:pPr>
    </w:p>
    <w:p>
      <w:pPr>
        <w:ind w:left="1960" w:hanging="656"/>
        <w:spacing w:after="0" w:line="263" w:lineRule="auto"/>
        <w:tabs>
          <w:tab w:leader="none" w:pos="1939" w:val="left"/>
        </w:tabs>
        <w:numPr>
          <w:ilvl w:val="0"/>
          <w:numId w:val="33"/>
        </w:numPr>
        <w:rPr>
          <w:rFonts w:ascii="Arial" w:cs="Arial" w:eastAsia="Arial" w:hAnsi="Arial"/>
          <w:sz w:val="22"/>
          <w:szCs w:val="22"/>
          <w:color w:val="auto"/>
        </w:rPr>
      </w:pPr>
      <w:r>
        <w:rPr>
          <w:rFonts w:ascii="Arial" w:cs="Arial" w:eastAsia="Arial" w:hAnsi="Arial"/>
          <w:sz w:val="22"/>
          <w:szCs w:val="22"/>
          <w:color w:val="auto"/>
        </w:rPr>
        <w:t>if by any other form of electronic transmission consented to by the stockholder, when directed to the stockholder.</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Notice by a form of electronic transmission shall not apply to matters governed by Sections 164, 296, 311, 312 or 324 of the DGCL.</w:t>
      </w:r>
    </w:p>
    <w:p>
      <w:pPr>
        <w:spacing w:after="0" w:line="175" w:lineRule="exact"/>
        <w:rPr>
          <w:sz w:val="20"/>
          <w:szCs w:val="20"/>
          <w:color w:val="auto"/>
        </w:rPr>
      </w:pPr>
    </w:p>
    <w:p>
      <w:pPr>
        <w:ind w:left="260" w:right="480" w:firstLine="648"/>
        <w:spacing w:after="0" w:line="253" w:lineRule="auto"/>
        <w:rPr>
          <w:sz w:val="20"/>
          <w:szCs w:val="20"/>
          <w:color w:val="auto"/>
        </w:rPr>
      </w:pPr>
      <w:r>
        <w:rPr>
          <w:rFonts w:ascii="Arial" w:cs="Arial" w:eastAsia="Arial" w:hAnsi="Arial"/>
          <w:sz w:val="22"/>
          <w:szCs w:val="22"/>
          <w:color w:val="auto"/>
        </w:rPr>
        <w:t>8.2 DEFINITION OF ELECTRONIC TRANSMISSION, ELECTRONIC SIGNATURE, ELECTRONIC MAIL AND ELECTRONIC MAIL ADDRESS. For the purposes of these bylaws, unless the context otherwise requires, the following terms shall have the following meanings:</w:t>
      </w:r>
    </w:p>
    <w:p>
      <w:pPr>
        <w:spacing w:after="0" w:line="18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An “</w:t>
      </w:r>
      <w:r>
        <w:rPr>
          <w:rFonts w:ascii="Arial" w:cs="Arial" w:eastAsia="Arial" w:hAnsi="Arial"/>
          <w:sz w:val="21"/>
          <w:szCs w:val="21"/>
          <w:u w:val="single" w:color="auto"/>
          <w:color w:val="auto"/>
        </w:rPr>
        <w:t>electronic transmission</w:t>
      </w:r>
      <w:r>
        <w:rPr>
          <w:rFonts w:ascii="Arial" w:cs="Arial" w:eastAsia="Arial" w:hAnsi="Arial"/>
          <w:sz w:val="21"/>
          <w:szCs w:val="21"/>
          <w:color w:val="auto"/>
        </w:rPr>
        <w:t>”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An “</w:t>
      </w:r>
      <w:r>
        <w:rPr>
          <w:rFonts w:ascii="Arial" w:cs="Arial" w:eastAsia="Arial" w:hAnsi="Arial"/>
          <w:sz w:val="22"/>
          <w:szCs w:val="22"/>
          <w:u w:val="single" w:color="auto"/>
          <w:color w:val="auto"/>
        </w:rPr>
        <w:t>electronic mail</w:t>
      </w:r>
      <w:r>
        <w:rPr>
          <w:rFonts w:ascii="Arial" w:cs="Arial" w:eastAsia="Arial" w:hAnsi="Arial"/>
          <w:sz w:val="22"/>
          <w:szCs w:val="22"/>
          <w:color w:val="auto"/>
        </w:rPr>
        <w:t>”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28" w:right="339" w:bottom="1440" w:gutter="0" w:footer="0" w:header="0"/>
        </w:sectPr>
      </w:pPr>
    </w:p>
    <w:bookmarkStart w:id="41" w:name="page42"/>
    <w:bookmarkEnd w:id="41"/>
    <w:p>
      <w:pPr>
        <w:jc w:val="both"/>
        <w:ind w:firstLine="648"/>
        <w:spacing w:after="0" w:line="312" w:lineRule="auto"/>
        <w:rPr>
          <w:sz w:val="20"/>
          <w:szCs w:val="20"/>
          <w:color w:val="auto"/>
        </w:rPr>
      </w:pPr>
      <w:r>
        <w:rPr>
          <w:rFonts w:ascii="Arial" w:cs="Arial" w:eastAsia="Arial" w:hAnsi="Arial"/>
          <w:sz w:val="19"/>
          <w:szCs w:val="19"/>
          <w:color w:val="auto"/>
        </w:rPr>
        <w:t>An “</w:t>
      </w:r>
      <w:r>
        <w:rPr>
          <w:rFonts w:ascii="Arial" w:cs="Arial" w:eastAsia="Arial" w:hAnsi="Arial"/>
          <w:sz w:val="19"/>
          <w:szCs w:val="19"/>
          <w:u w:val="single" w:color="auto"/>
          <w:color w:val="auto"/>
        </w:rPr>
        <w:t>electronic mail address</w:t>
      </w:r>
      <w:r>
        <w:rPr>
          <w:rFonts w:ascii="Arial" w:cs="Arial" w:eastAsia="Arial" w:hAnsi="Arial"/>
          <w:sz w:val="19"/>
          <w:szCs w:val="19"/>
          <w:color w:val="auto"/>
        </w:rPr>
        <w:t>”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w:t>
      </w:r>
    </w:p>
    <w:p>
      <w:pPr>
        <w:spacing w:after="0" w:line="13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An “</w:t>
      </w:r>
      <w:r>
        <w:rPr>
          <w:rFonts w:ascii="Arial" w:cs="Arial" w:eastAsia="Arial" w:hAnsi="Arial"/>
          <w:sz w:val="21"/>
          <w:szCs w:val="21"/>
          <w:u w:val="single" w:color="auto"/>
          <w:color w:val="auto"/>
        </w:rPr>
        <w:t>electronic signature</w:t>
      </w:r>
      <w:r>
        <w:rPr>
          <w:rFonts w:ascii="Arial" w:cs="Arial" w:eastAsia="Arial" w:hAnsi="Arial"/>
          <w:sz w:val="21"/>
          <w:szCs w:val="21"/>
          <w:color w:val="auto"/>
        </w:rPr>
        <w:t>” means an electronic symbol or process that is attached to, or logically associated with, a document and executed or adopted by a person with an intent to execute, authenticate or adopt the document.</w:t>
      </w:r>
    </w:p>
    <w:p>
      <w:pPr>
        <w:spacing w:after="0" w:line="145" w:lineRule="exact"/>
        <w:rPr>
          <w:sz w:val="20"/>
          <w:szCs w:val="20"/>
          <w:color w:val="auto"/>
        </w:rPr>
      </w:pPr>
    </w:p>
    <w:p>
      <w:pPr>
        <w:ind w:left="660" w:right="1640" w:firstLine="1642"/>
        <w:spacing w:after="0" w:line="451" w:lineRule="auto"/>
        <w:rPr>
          <w:sz w:val="20"/>
          <w:szCs w:val="20"/>
          <w:color w:val="auto"/>
        </w:rPr>
      </w:pPr>
      <w:r>
        <w:rPr>
          <w:rFonts w:ascii="Arial" w:cs="Arial" w:eastAsia="Arial" w:hAnsi="Arial"/>
          <w:sz w:val="22"/>
          <w:szCs w:val="22"/>
          <w:b w:val="1"/>
          <w:bCs w:val="1"/>
          <w:color w:val="auto"/>
        </w:rPr>
        <w:t xml:space="preserve">ARTICLE IX - INDEMNIFICATION AND ADVANCEMENT OF EXPENSES </w:t>
      </w:r>
      <w:r>
        <w:rPr>
          <w:rFonts w:ascii="Arial" w:cs="Arial" w:eastAsia="Arial" w:hAnsi="Arial"/>
          <w:sz w:val="22"/>
          <w:szCs w:val="22"/>
          <w:color w:val="auto"/>
        </w:rPr>
        <w:t>9.1 INDEMNIFICATION OF DIRECTORS AND OFFICERS.</w:t>
      </w:r>
    </w:p>
    <w:p>
      <w:pPr>
        <w:jc w:val="both"/>
        <w:ind w:firstLine="648"/>
        <w:spacing w:after="0" w:line="258" w:lineRule="auto"/>
        <w:rPr>
          <w:sz w:val="20"/>
          <w:szCs w:val="20"/>
          <w:color w:val="auto"/>
        </w:rPr>
      </w:pPr>
      <w:r>
        <w:rPr>
          <w:rFonts w:ascii="Arial" w:cs="Arial" w:eastAsia="Arial" w:hAnsi="Arial"/>
          <w:sz w:val="21"/>
          <w:szCs w:val="21"/>
          <w:color w:val="auto"/>
        </w:rPr>
        <w:t>The Corporation shall indemnify and hold harmless, to the fullest extent permitted by the DGCL as it presently exists or may hereafter be amended, any person who was or is made or is threatened to be made a party or is otherwise involved in any action, suit or proceeding, whether civil, criminal, administrative or investigative (a “</w:t>
      </w:r>
      <w:r>
        <w:rPr>
          <w:rFonts w:ascii="Arial" w:cs="Arial" w:eastAsia="Arial" w:hAnsi="Arial"/>
          <w:sz w:val="21"/>
          <w:szCs w:val="21"/>
          <w:u w:val="single" w:color="auto"/>
          <w:color w:val="auto"/>
        </w:rPr>
        <w:t>Proceeding</w:t>
      </w:r>
      <w:r>
        <w:rPr>
          <w:rFonts w:ascii="Arial" w:cs="Arial" w:eastAsia="Arial" w:hAnsi="Arial"/>
          <w:sz w:val="21"/>
          <w:szCs w:val="21"/>
          <w:color w:val="auto"/>
        </w:rPr>
        <w:t>”), by reason of the fact that he or she, or a person for whom he or she is the legal representative, is or was a director or officer of the Corporation or, while a director or officer of the Corporation,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person in connection with any such Proceeding. Notwithstanding the preceding sentence, except as otherwise provided in Section 9.4, the Corporation shall be required to indemnify a person in connection with a Proceeding (or part thereof) commenced by such person only if the commencement of such Proceeding (or part thereof) by such person was authorized in the specific case by the Board.</w:t>
      </w:r>
    </w:p>
    <w:p>
      <w:pPr>
        <w:spacing w:after="0" w:line="18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color w:val="auto"/>
        </w:rPr>
        <w:t>INDEMNIFICATION OF OTHERS.</w:t>
      </w:r>
    </w:p>
    <w:p>
      <w:pPr>
        <w:spacing w:after="0" w:line="22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The Corporation shall have the power to indemnify and hold harmless, to the fullest extent permitted by applicable law as it presently exists or may hereafter be amended, any employee or agent of the Corporation who was or is made or is threatened to be made a party or is otherwise involved in any Proceeding by reason of the fact that he or she, or a person for whom he or she is the legal representative, is or was an employee or other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w:t>
      </w:r>
    </w:p>
    <w:p>
      <w:pPr>
        <w:spacing w:after="0" w:line="151"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19"/>
          <w:szCs w:val="19"/>
          <w:color w:val="auto"/>
        </w:rPr>
        <w:t>ADVANCEMENT OF EXPENSES.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Corporation shall to the fullest extent not prohibited by applicable law pay the expenses (including attorneys’ fees) incurred by any officer or director of the Corporation, and may pay the expenses incurred by any employee or agent of the Corporation, in defending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28" w:right="339" w:bottom="1440" w:gutter="0" w:footer="0" w:header="0"/>
        </w:sectPr>
      </w:pPr>
    </w:p>
    <w:bookmarkStart w:id="42" w:name="page43"/>
    <w:bookmarkEnd w:id="42"/>
    <w:p>
      <w:pPr>
        <w:jc w:val="both"/>
        <w:spacing w:after="0" w:line="250" w:lineRule="auto"/>
        <w:rPr>
          <w:sz w:val="20"/>
          <w:szCs w:val="20"/>
          <w:color w:val="auto"/>
        </w:rPr>
      </w:pPr>
      <w:r>
        <w:rPr>
          <w:rFonts w:ascii="Arial" w:cs="Arial" w:eastAsia="Arial" w:hAnsi="Arial"/>
          <w:sz w:val="22"/>
          <w:szCs w:val="22"/>
          <w:color w:val="auto"/>
        </w:rPr>
        <w:t xml:space="preserve">Proceeding in advance of its final disposition; </w:t>
      </w:r>
      <w:r>
        <w:rPr>
          <w:rFonts w:ascii="Arial" w:cs="Arial" w:eastAsia="Arial" w:hAnsi="Arial"/>
          <w:sz w:val="22"/>
          <w:szCs w:val="22"/>
          <w:i w:val="1"/>
          <w:iCs w:val="1"/>
          <w:u w:val="single" w:color="auto"/>
          <w:color w:val="auto"/>
        </w:rPr>
        <w:t>provided</w:t>
      </w:r>
      <w:r>
        <w:rPr>
          <w:rFonts w:ascii="Arial" w:cs="Arial" w:eastAsia="Arial" w:hAnsi="Arial"/>
          <w:sz w:val="22"/>
          <w:szCs w:val="22"/>
          <w:i w:val="1"/>
          <w:iCs w:val="1"/>
          <w:color w:val="auto"/>
        </w:rPr>
        <w:t>,</w:t>
      </w:r>
      <w:r>
        <w:rPr>
          <w:rFonts w:ascii="Arial" w:cs="Arial" w:eastAsia="Arial" w:hAnsi="Arial"/>
          <w:sz w:val="22"/>
          <w:szCs w:val="22"/>
          <w:color w:val="auto"/>
        </w:rPr>
        <w:t xml:space="preserve"> </w:t>
      </w:r>
      <w:r>
        <w:rPr>
          <w:rFonts w:ascii="Arial" w:cs="Arial" w:eastAsia="Arial" w:hAnsi="Arial"/>
          <w:sz w:val="22"/>
          <w:szCs w:val="22"/>
          <w:i w:val="1"/>
          <w:iCs w:val="1"/>
          <w:u w:val="single" w:color="auto"/>
          <w:color w:val="auto"/>
        </w:rPr>
        <w:t>however</w:t>
      </w:r>
      <w:r>
        <w:rPr>
          <w:rFonts w:ascii="Arial" w:cs="Arial" w:eastAsia="Arial" w:hAnsi="Arial"/>
          <w:sz w:val="22"/>
          <w:szCs w:val="22"/>
          <w:color w:val="auto"/>
        </w:rPr>
        <w:t>, that, to the extent required by law, such payment of expenses in advance of the final disposition of the Proceeding shall be made only upon receipt of an undertaking by the person to repay all amounts advanced if it should be ultimately determined that such person is not entitled to be indemnified under this Article IX or otherwise.</w:t>
      </w:r>
    </w:p>
    <w:p>
      <w:pPr>
        <w:spacing w:after="0" w:line="188"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21"/>
          <w:szCs w:val="21"/>
          <w:color w:val="auto"/>
        </w:rPr>
        <w:t>DETERMINATION; CLAIM.</w:t>
      </w:r>
    </w:p>
    <w:p>
      <w:pPr>
        <w:spacing w:after="0" w:line="22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If a claim for indemnification (following the final disposition of such Proceeding) under this Article IX is not paid in full within sixty (60) days, or a claim for advancement of expenses under this Article IX is not paid in full within thirty (30) days, after a written claim therefor has been received by the Corporation, the claimant may thereafter (but not before) file suit to recover the unpaid amount of such claim and, if successful in whole or in part, shall be entitled to be paid the expense of prosecuting such claim to the fullest extent permitted by law. In any such action, the Corporation shall have the burden of proving that the claimant is not entitled to the requested indemnification or advancement of expenses under applicable law.</w:t>
      </w:r>
    </w:p>
    <w:p>
      <w:pPr>
        <w:spacing w:after="0" w:line="149"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21"/>
          <w:szCs w:val="21"/>
          <w:color w:val="auto"/>
        </w:rPr>
        <w:t>NON-EXCLUSIVITY OF RIGHTS.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rights conferred on any person by this Article IX shall not be exclusive of any other rights which such person may have or hereafter acquire under any statute, provision of the certificate of incorporation, these bylaws, agreement, vote of stockholders or disinterested directors or otherwise.</w:t>
      </w:r>
    </w:p>
    <w:p>
      <w:pPr>
        <w:spacing w:after="0" w:line="18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9.6</w:t>
      </w:r>
      <w:r>
        <w:rPr>
          <w:sz w:val="20"/>
          <w:szCs w:val="20"/>
          <w:color w:val="auto"/>
        </w:rPr>
        <w:tab/>
      </w:r>
      <w:r>
        <w:rPr>
          <w:rFonts w:ascii="Arial" w:cs="Arial" w:eastAsia="Arial" w:hAnsi="Arial"/>
          <w:sz w:val="21"/>
          <w:szCs w:val="21"/>
          <w:color w:val="auto"/>
        </w:rPr>
        <w:t>INSURANCE.</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any loss, liability or expense incurred by him or her in any such capacity, or arising out of his or her status as such, whether or not the Corporation would have the power to indemnify such person against such loss, liability or expense under the provisions of the DGCL.</w:t>
      </w:r>
    </w:p>
    <w:p>
      <w:pPr>
        <w:spacing w:after="0" w:line="193"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9.7</w:t>
      </w:r>
      <w:r>
        <w:rPr>
          <w:sz w:val="20"/>
          <w:szCs w:val="20"/>
          <w:color w:val="auto"/>
        </w:rPr>
        <w:tab/>
      </w:r>
      <w:r>
        <w:rPr>
          <w:rFonts w:ascii="Arial" w:cs="Arial" w:eastAsia="Arial" w:hAnsi="Arial"/>
          <w:sz w:val="19"/>
          <w:szCs w:val="19"/>
          <w:color w:val="auto"/>
        </w:rPr>
        <w:t>OTHER SOURCES.</w:t>
      </w:r>
    </w:p>
    <w:p>
      <w:pPr>
        <w:spacing w:after="0" w:line="22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The Corporation’s obligation, if any, to indemnify or advance expenses to a person pursuant to this Article IX shall be reduced by any amount such person may collect from the proceeds of insurance or, to the extent such person was or is serving at the Corporation’s request as a director, officer, employee or agent of another corporation, partnership, joint venture, trust, enterprise or non-profit entity, as indemnification or advancement of expenses from such other corporation, partnership, joint venture, trust, enterprise or non-profit entity. In the event the Corporation makes any indemnification or advancement payments to any person in connection with a Proceeding, and such person is subsequently reimbursed from the proceeds of insurance or indemnification or advancement payments received from any other source in connection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28" w:right="339" w:bottom="1440" w:gutter="0" w:footer="0" w:header="0"/>
        </w:sectPr>
      </w:pPr>
    </w:p>
    <w:bookmarkStart w:id="43" w:name="page44"/>
    <w:bookmarkEnd w:id="43"/>
    <w:p>
      <w:pPr>
        <w:jc w:val="both"/>
        <w:spacing w:after="0" w:line="263" w:lineRule="auto"/>
        <w:rPr>
          <w:sz w:val="20"/>
          <w:szCs w:val="20"/>
          <w:color w:val="auto"/>
        </w:rPr>
      </w:pPr>
      <w:r>
        <w:rPr>
          <w:rFonts w:ascii="Arial" w:cs="Arial" w:eastAsia="Arial" w:hAnsi="Arial"/>
          <w:sz w:val="22"/>
          <w:szCs w:val="22"/>
          <w:color w:val="auto"/>
        </w:rPr>
        <w:t>such Proceeding, such person shall promptly refund such indemnification or advancement payments to the Corporation to the extent of such reimbursement.</w:t>
      </w:r>
    </w:p>
    <w:p>
      <w:pPr>
        <w:spacing w:after="0" w:line="17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9.8</w:t>
      </w:r>
      <w:r>
        <w:rPr>
          <w:sz w:val="20"/>
          <w:szCs w:val="20"/>
          <w:color w:val="auto"/>
        </w:rPr>
        <w:tab/>
      </w:r>
      <w:r>
        <w:rPr>
          <w:rFonts w:ascii="Arial" w:cs="Arial" w:eastAsia="Arial" w:hAnsi="Arial"/>
          <w:sz w:val="21"/>
          <w:szCs w:val="21"/>
          <w:color w:val="auto"/>
        </w:rPr>
        <w:t>CONTINUATION OF INDEMNIFICATION.</w:t>
      </w:r>
    </w:p>
    <w:p>
      <w:pPr>
        <w:spacing w:after="0" w:line="22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The rights to indemnification and to advancement of expenses provided by, or granted pursuant to, this Article IX shall continue notwithstanding that the person has ceased to be a director or officer of the Corporation and shall inure to the benefit of the estate, heirs, executors, administrators, legatees and distributees of such person.</w:t>
      </w:r>
    </w:p>
    <w:p>
      <w:pPr>
        <w:spacing w:after="0" w:line="16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9.9</w:t>
      </w:r>
      <w:r>
        <w:rPr>
          <w:sz w:val="20"/>
          <w:szCs w:val="20"/>
          <w:color w:val="auto"/>
        </w:rPr>
        <w:tab/>
      </w:r>
      <w:r>
        <w:rPr>
          <w:rFonts w:ascii="Arial" w:cs="Arial" w:eastAsia="Arial" w:hAnsi="Arial"/>
          <w:sz w:val="19"/>
          <w:szCs w:val="19"/>
          <w:color w:val="auto"/>
        </w:rPr>
        <w:t>AMENDMENT OR REPEAL; INTERPRETATION.</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provisions of this Article IX shall constitute a contract between the Corporation, on the one hand, and, on the other hand, each individual who serves or has served as a director or officer of the Corporation (whether before or after the adoption of these bylaws), in consideration of such person’s performance of such services and, pursuant to this Article IX, the Corporation intends to be legally bound to each such current or former director or officer of the Corporation. With respect to current and former directors and officers of the Corporation, the rights conferred under this Article IX are present contractual rights and such rights are fully vested, and shall be deemed to have vested fully, immediately upon adoption of theses bylaws. With respect to any directors or officers of the Corporation who commence service following adoption of these bylaws, the rights conferred under this provision shall be present contractual rights and such rights shall fully vest, and be deemed to have vested fully, immediately upon such director or officer commencing service as a director or officer of the Corporation. Any repeal or modification of the foregoing provisions of this Article IX shall not adversely affect any right or protection (i) hereunder of any person in respect of any act or omission occurring prior to the time of such repeal or modification or (ii) under any agreement providing for indemnification or advancement of expenses to an officer or director of the Corporation in effect prior to the time of such repeal or modification.</w:t>
      </w: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Any reference to an officer of the Corporation in this Article IX shall be deemed to refer exclusively to the chairperson of the Board, a vice chairperson of the Board, the president, the secretary, a chief executive officer, a chief financial officer, a treasurer appointed pursuant to Article V of these bylaws, and to any vice president, assistant secretary, assistant treasurer, or other officer of the Corporation appointed by (x) the Board pursuant to Article V of these Bylaws or (y) an officer to whom the Board has delegated the power to appoint officers pursuant to Article V of these bylaws, and any reference to an officer of any other corporation, partnership, joint venture, trust, other enterprise, non-profit entity or employee benefit plan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other enterprise, non-profit entity or employee benefit plan. The fact that any person who is or was an employee of the Corporation or an employee of any other corporation, partnership, joint venture, trust, other enterprise, non-profit entity or employee benefit plan has been given or has used the title of “vice president” or any other title that could be construed to suggest or imply that such person is or may be an officer of the Corporation or of such other corporation, partnership, joint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28" w:right="339" w:bottom="1440" w:gutter="0" w:footer="0" w:header="0"/>
        </w:sectPr>
      </w:pPr>
    </w:p>
    <w:bookmarkStart w:id="44" w:name="page45"/>
    <w:bookmarkEnd w:id="44"/>
    <w:p>
      <w:pPr>
        <w:jc w:val="both"/>
        <w:spacing w:after="0" w:line="253" w:lineRule="auto"/>
        <w:rPr>
          <w:sz w:val="20"/>
          <w:szCs w:val="20"/>
          <w:color w:val="auto"/>
        </w:rPr>
      </w:pPr>
      <w:r>
        <w:rPr>
          <w:rFonts w:ascii="Arial" w:cs="Arial" w:eastAsia="Arial" w:hAnsi="Arial"/>
          <w:sz w:val="22"/>
          <w:szCs w:val="22"/>
          <w:color w:val="auto"/>
        </w:rPr>
        <w:t>venture, trust, other enterprise, non-profit entity or employee benefit plan shall not result in such person being constituted as, or being deemed to be, an officer of the Corporation or of such other corporation, partnership, joint venture, trust, other enterprise, non-profit entity or employee benefit plan for purposes of this Article IX.</w:t>
      </w:r>
    </w:p>
    <w:p>
      <w:pPr>
        <w:spacing w:after="0" w:line="18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9.10</w:t>
      </w:r>
      <w:r>
        <w:rPr>
          <w:sz w:val="20"/>
          <w:szCs w:val="20"/>
          <w:color w:val="auto"/>
        </w:rPr>
        <w:tab/>
      </w:r>
      <w:r>
        <w:rPr>
          <w:rFonts w:ascii="Arial" w:cs="Arial" w:eastAsia="Arial" w:hAnsi="Arial"/>
          <w:sz w:val="19"/>
          <w:szCs w:val="19"/>
          <w:color w:val="auto"/>
        </w:rPr>
        <w:t>OTHER INDEMNIFICATION AND ADVANCEMENT OF EXPENSES.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Article IX shall not limit the right of the Corporation, to the fullest extent and in the manner permitted by law, to indemnify and to advance expenses to other persons serving the Corporation when and as authorized by appropriate corporate action.</w:t>
      </w:r>
    </w:p>
    <w:p>
      <w:pPr>
        <w:spacing w:after="0" w:line="179" w:lineRule="exact"/>
        <w:rPr>
          <w:sz w:val="20"/>
          <w:szCs w:val="20"/>
          <w:color w:val="auto"/>
        </w:rPr>
      </w:pPr>
    </w:p>
    <w:p>
      <w:pPr>
        <w:jc w:val="center"/>
        <w:ind w:left="640"/>
        <w:spacing w:after="0"/>
        <w:rPr>
          <w:sz w:val="20"/>
          <w:szCs w:val="20"/>
          <w:color w:val="auto"/>
        </w:rPr>
      </w:pPr>
      <w:r>
        <w:rPr>
          <w:rFonts w:ascii="Arial" w:cs="Arial" w:eastAsia="Arial" w:hAnsi="Arial"/>
          <w:sz w:val="22"/>
          <w:szCs w:val="22"/>
          <w:b w:val="1"/>
          <w:bCs w:val="1"/>
          <w:color w:val="auto"/>
        </w:rPr>
        <w:t>ARTICLE X - AMENDMENTS</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Subject to the limitations set forth in the provisions of the certificate of incorporation, the Board is expressly empowered to adopt, amend, alter or repeal the bylaws of the Corporation. The stockholders may not adopt, amend, alter or repeal the bylaws of the Corporation, or adopt any provision inconsistent therewith, unless such action is approved, in addition to any other vote required by law and the certificate of incorporation, by the affirmative vote of the holders of at least two-thirds in voting power of the outstanding shares of capital stock of the Corporation entitled to vote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28" w:right="339" w:bottom="1440" w:gutter="0" w:footer="0" w:header="0"/>
        </w:sectPr>
      </w:pPr>
    </w:p>
    <w:bookmarkStart w:id="45" w:name="page46"/>
    <w:bookmarkEnd w:id="45"/>
    <w:p>
      <w:pPr>
        <w:jc w:val="center"/>
        <w:ind w:left="640"/>
        <w:spacing w:after="0"/>
        <w:rPr>
          <w:sz w:val="20"/>
          <w:szCs w:val="20"/>
          <w:color w:val="auto"/>
        </w:rPr>
      </w:pPr>
      <w:r>
        <w:rPr>
          <w:rFonts w:ascii="Arial" w:cs="Arial" w:eastAsia="Arial" w:hAnsi="Arial"/>
          <w:sz w:val="22"/>
          <w:szCs w:val="22"/>
          <w:b w:val="1"/>
          <w:bCs w:val="1"/>
          <w:color w:val="auto"/>
        </w:rPr>
        <w:t>KALTURA, INC.</w:t>
      </w:r>
    </w:p>
    <w:p>
      <w:pPr>
        <w:spacing w:after="0" w:line="27" w:lineRule="exact"/>
        <w:rPr>
          <w:sz w:val="20"/>
          <w:szCs w:val="20"/>
          <w:color w:val="auto"/>
        </w:rPr>
      </w:pPr>
    </w:p>
    <w:p>
      <w:pPr>
        <w:jc w:val="center"/>
        <w:ind w:left="640"/>
        <w:spacing w:after="0"/>
        <w:rPr>
          <w:sz w:val="20"/>
          <w:szCs w:val="20"/>
          <w:color w:val="auto"/>
        </w:rPr>
      </w:pPr>
      <w:r>
        <w:rPr>
          <w:rFonts w:ascii="Arial" w:cs="Arial" w:eastAsia="Arial" w:hAnsi="Arial"/>
          <w:sz w:val="22"/>
          <w:szCs w:val="22"/>
          <w:b w:val="1"/>
          <w:bCs w:val="1"/>
          <w:color w:val="auto"/>
        </w:rPr>
        <w:t>Certificate of Amendment and Restatement of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167640</wp:posOffset>
            </wp:positionV>
            <wp:extent cx="25374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3746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193040</wp:posOffset>
            </wp:positionV>
            <wp:extent cx="2537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undersigned hereby certifies that he is the duly elected, qualified, and acting Secretary of Kaltura, Inc., a Delaware corporation (the “</w:t>
      </w:r>
      <w:r>
        <w:rPr>
          <w:rFonts w:ascii="Arial" w:cs="Arial" w:eastAsia="Arial" w:hAnsi="Arial"/>
          <w:sz w:val="22"/>
          <w:szCs w:val="22"/>
          <w:u w:val="single" w:color="auto"/>
          <w:color w:val="auto"/>
        </w:rPr>
        <w:t>Corporation</w:t>
      </w:r>
      <w:r>
        <w:rPr>
          <w:rFonts w:ascii="Arial" w:cs="Arial" w:eastAsia="Arial" w:hAnsi="Arial"/>
          <w:sz w:val="22"/>
          <w:szCs w:val="22"/>
          <w:color w:val="auto"/>
          <w:highlight w:val="white"/>
        </w:rPr>
        <w:t>”), and that the foregoing bylaws were approved on March 18, 2021, effective as of July 23, 2021,</w:t>
      </w:r>
      <w:r>
        <w:rPr>
          <w:rFonts w:ascii="Arial" w:cs="Arial" w:eastAsia="Arial" w:hAnsi="Arial"/>
          <w:sz w:val="22"/>
          <w:szCs w:val="22"/>
          <w:color w:val="auto"/>
        </w:rPr>
        <w:t xml:space="preserve"> by the Corporation’s board of directors.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WITNESS WHEREOF, the undersigned has hereunto set his hand this 23rd day of July, 2021.</w:t>
      </w:r>
    </w:p>
    <w:p>
      <w:pPr>
        <w:spacing w:after="0" w:line="274"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/s/ Byron Kahr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24130</wp:posOffset>
            </wp:positionV>
            <wp:extent cx="33432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51"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Byron Kahr</w:t>
      </w:r>
    </w:p>
    <w:p>
      <w:pPr>
        <w:spacing w:after="0" w:line="58"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General Counsel and Secretary of the Corporation</w:t>
      </w:r>
    </w:p>
    <w:sectPr>
      <w:pgSz w:w="11900" w:h="16838" w:orient="portrait"/>
      <w:cols w:equalWidth="0" w:num="1">
        <w:col w:w="11240"/>
      </w:cols>
      <w:pgMar w:left="320" w:top="14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1)"/>
      <w:numFmt w:val="lowerLetter"/>
      <w:start w:val="4"/>
    </w:lvl>
  </w:abstractNum>
  <w:abstractNum w:abstractNumId="2">
    <w:nsid w:val="431BD7B7"/>
    <w:multiLevelType w:val="hybridMultilevel"/>
    <w:lvl w:ilvl="0">
      <w:lvlJc w:val="left"/>
      <w:lvlText w:val="%1."/>
      <w:numFmt w:val="upperLetter"/>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3"/>
    </w:lvl>
  </w:abstractNum>
  <w:abstractNum w:abstractNumId="5">
    <w:nsid w:val="257130A3"/>
    <w:multiLevelType w:val="hybridMultilevel"/>
    <w:lvl w:ilvl="0">
      <w:lvlJc w:val="left"/>
      <w:lvlText w:val="%1."/>
      <w:numFmt w:val="upperLetter"/>
      <w:start w:val="2"/>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6"/>
    </w:lvl>
    <w:lvl w:ilvl="1">
      <w:lvlJc w:val="left"/>
      <w:lvlText w:val="%2."/>
      <w:numFmt w:val="decimal"/>
      <w:start w:val="7"/>
    </w:lvl>
  </w:abstractNum>
  <w:abstractNum w:abstractNumId="8">
    <w:nsid w:val="628C895D"/>
    <w:multiLevelType w:val="hybridMultilevel"/>
    <w:lvl w:ilvl="0">
      <w:lvlJc w:val="left"/>
      <w:lvlText w:val="(%1)"/>
      <w:numFmt w:val="upperLetter"/>
      <w:start w:val="2"/>
    </w:lvl>
    <w:lvl w:ilvl="1">
      <w:lvlJc w:val="left"/>
      <w:lvlText w:val="(%2)"/>
      <w:numFmt w:val="lowerLetter"/>
      <w:start w:val="2"/>
    </w:lvl>
  </w:abstractNum>
  <w:abstractNum w:abstractNumId="9">
    <w:nsid w:val="333AB105"/>
    <w:multiLevelType w:val="hybridMultilevel"/>
    <w:lvl w:ilvl="0">
      <w:lvlJc w:val="left"/>
      <w:lvlText w:val="(%1)"/>
      <w:numFmt w:val="lowerLetter"/>
      <w:start w:val="3"/>
    </w:lvl>
    <w:lvl w:ilvl="1">
      <w:lvlJc w:val="left"/>
      <w:lvlText w:val="(%2)"/>
      <w:numFmt w:val="lowerRoman"/>
      <w:start w:val="1"/>
    </w:lvl>
  </w:abstractNum>
  <w:abstractNum w:abstractNumId="10">
    <w:nsid w:val="721DA317"/>
    <w:multiLevelType w:val="hybridMultilevel"/>
    <w:lvl w:ilvl="0">
      <w:lvlJc w:val="left"/>
      <w:lvlText w:val="%1"/>
      <w:numFmt w:val="upperLetter"/>
      <w:start w:val="1"/>
    </w:lvl>
    <w:lvl w:ilvl="1">
      <w:lvlJc w:val="left"/>
      <w:lvlText w:val="(%2)"/>
      <w:numFmt w:val="lowerRoman"/>
      <w:start w:val="3"/>
    </w:lvl>
  </w:abstractNum>
  <w:abstractNum w:abstractNumId="11">
    <w:nsid w:val="2443A858"/>
    <w:multiLevelType w:val="hybridMultilevel"/>
    <w:lvl w:ilvl="0">
      <w:lvlJc w:val="left"/>
      <w:lvlText w:val="(%1)"/>
      <w:numFmt w:val="upperLetter"/>
      <w:start w:val="4"/>
    </w:lvl>
    <w:lvl w:ilvl="1">
      <w:lvlJc w:val="left"/>
      <w:lvlText w:val="%2"/>
      <w:numFmt w:val="lowerRoman"/>
      <w:start w:val="1"/>
    </w:lvl>
  </w:abstractNum>
  <w:abstractNum w:abstractNumId="12">
    <w:nsid w:val="2D1D5AE9"/>
    <w:multiLevelType w:val="hybridMultilevel"/>
    <w:lvl w:ilvl="0">
      <w:lvlJc w:val="left"/>
      <w:lvlText w:val="(%1)"/>
      <w:numFmt w:val="lowerLetter"/>
      <w:start w:val="4"/>
    </w:lvl>
  </w:abstractNum>
  <w:abstractNum w:abstractNumId="13">
    <w:nsid w:val="6763845E"/>
    <w:multiLevelType w:val="hybridMultilevel"/>
    <w:lvl w:ilvl="0">
      <w:lvlJc w:val="left"/>
      <w:lvlText w:val="(%1)"/>
      <w:numFmt w:val="decimal"/>
      <w:start w:val="8"/>
    </w:lvl>
    <w:lvl w:ilvl="1">
      <w:lvlJc w:val="left"/>
      <w:lvlText w:val="(%2)"/>
      <w:numFmt w:val="lowerLetter"/>
      <w:start w:val="6"/>
    </w:lvl>
  </w:abstractNum>
  <w:abstractNum w:abstractNumId="14">
    <w:nsid w:val="75A2A8D4"/>
    <w:multiLevelType w:val="hybridMultilevel"/>
    <w:lvl w:ilvl="0">
      <w:lvlJc w:val="left"/>
      <w:lvlText w:val="(%1)"/>
      <w:numFmt w:val="lowerLetter"/>
      <w:start w:val="1"/>
    </w:lvl>
  </w:abstractNum>
  <w:abstractNum w:abstractNumId="15">
    <w:nsid w:val="8EDBDAB"/>
    <w:multiLevelType w:val="hybridMultilevel"/>
    <w:lvl w:ilvl="0">
      <w:lvlJc w:val="left"/>
      <w:lvlText w:val="(%1)"/>
      <w:numFmt w:val="lowerRoman"/>
      <w:start w:val="2"/>
    </w:lvl>
  </w:abstractNum>
  <w:abstractNum w:abstractNumId="16">
    <w:nsid w:val="79838CB2"/>
    <w:multiLevelType w:val="hybridMultilevel"/>
    <w:lvl w:ilvl="0">
      <w:lvlJc w:val="left"/>
      <w:lvlText w:val="(%1)"/>
      <w:numFmt w:val="lowerRoman"/>
      <w:start w:val="3"/>
    </w:lvl>
  </w:abstractNum>
  <w:abstractNum w:abstractNumId="17">
    <w:nsid w:val="4353D0CD"/>
    <w:multiLevelType w:val="hybridMultilevel"/>
    <w:lvl w:ilvl="0">
      <w:lvlJc w:val="left"/>
      <w:lvlText w:val="(%1)"/>
      <w:numFmt w:val="lowerLetter"/>
      <w:start w:val="3"/>
    </w:lvl>
    <w:lvl w:ilvl="1">
      <w:lvlJc w:val="left"/>
      <w:lvlText w:val="(%2)"/>
      <w:numFmt w:val="lowerRoman"/>
      <w:start w:val="1"/>
    </w:lvl>
  </w:abstractNum>
  <w:abstractNum w:abstractNumId="18">
    <w:nsid w:val="B03E0C6"/>
    <w:multiLevelType w:val="hybridMultilevel"/>
    <w:lvl w:ilvl="0">
      <w:lvlJc w:val="left"/>
      <w:lvlText w:val="%1"/>
      <w:numFmt w:val="upperLetter"/>
      <w:start w:val="1"/>
    </w:lvl>
    <w:lvl w:ilvl="1">
      <w:lvlJc w:val="left"/>
      <w:lvlText w:val="(%2)"/>
      <w:numFmt w:val="lowerRoman"/>
      <w:start w:val="4"/>
    </w:lvl>
  </w:abstractNum>
  <w:abstractNum w:abstractNumId="19">
    <w:nsid w:val="189A769B"/>
    <w:multiLevelType w:val="hybridMultilevel"/>
    <w:lvl w:ilvl="0">
      <w:lvlJc w:val="left"/>
      <w:lvlText w:val="(%1)"/>
      <w:numFmt w:val="upperLetter"/>
      <w:start w:val="2"/>
    </w:lvl>
    <w:lvl w:ilvl="1">
      <w:lvlJc w:val="left"/>
      <w:lvlText w:val="%2"/>
      <w:numFmt w:val="lowerRoman"/>
      <w:start w:val="1"/>
    </w:lvl>
  </w:abstractNum>
  <w:abstractNum w:abstractNumId="20">
    <w:nsid w:val="54E49EB4"/>
    <w:multiLevelType w:val="hybridMultilevel"/>
    <w:lvl w:ilvl="0">
      <w:lvlJc w:val="left"/>
      <w:lvlText w:val="%1"/>
      <w:numFmt w:val="decimal"/>
      <w:start w:val="1"/>
    </w:lvl>
    <w:lvl w:ilvl="1">
      <w:lvlJc w:val="left"/>
      <w:lvlText w:val="(%2)"/>
      <w:numFmt w:val="lowerLetter"/>
      <w:start w:val="4"/>
    </w:lvl>
  </w:abstractNum>
  <w:abstractNum w:abstractNumId="21">
    <w:nsid w:val="71F32454"/>
    <w:multiLevelType w:val="hybridMultilevel"/>
    <w:lvl w:ilvl="0">
      <w:lvlJc w:val="left"/>
      <w:lvlText w:val="(%1)"/>
      <w:numFmt w:val="decimal"/>
      <w:start w:val="10"/>
    </w:lvl>
    <w:lvl w:ilvl="1">
      <w:lvlJc w:val="left"/>
      <w:lvlText w:val="%2"/>
      <w:numFmt w:val="lowerLetter"/>
      <w:start w:val="1"/>
    </w:lvl>
  </w:abstractNum>
  <w:abstractNum w:abstractNumId="22">
    <w:nsid w:val="2CA88611"/>
    <w:multiLevelType w:val="hybridMultilevel"/>
    <w:lvl w:ilvl="0">
      <w:lvlJc w:val="left"/>
      <w:lvlText w:val="(%1)"/>
      <w:numFmt w:val="lowerLetter"/>
      <w:start w:val="6"/>
    </w:lvl>
  </w:abstractNum>
  <w:abstractNum w:abstractNumId="23">
    <w:nsid w:val="836C40E"/>
    <w:multiLevelType w:val="hybridMultilevel"/>
    <w:lvl w:ilvl="0">
      <w:lvlJc w:val="left"/>
      <w:lvlText w:val="(%1)"/>
      <w:numFmt w:val="lowerRoman"/>
      <w:start w:val="1"/>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1)"/>
      <w:numFmt w:val="lowerLetter"/>
      <w:start w:val="1"/>
    </w:lvl>
  </w:abstractNum>
  <w:abstractNum w:abstractNumId="26">
    <w:nsid w:val="8138641"/>
    <w:multiLevelType w:val="hybridMultilevel"/>
    <w:lvl w:ilvl="0">
      <w:lvlJc w:val="left"/>
      <w:lvlText w:val="(%1)"/>
      <w:numFmt w:val="decimal"/>
      <w:start w:val="4"/>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1)"/>
      <w:numFmt w:val="lowerLetter"/>
      <w:start w:val="4"/>
    </w:lvl>
  </w:abstractNum>
  <w:abstractNum w:abstractNumId="29">
    <w:nsid w:val="737B8DDC"/>
    <w:multiLevelType w:val="hybridMultilevel"/>
    <w:lvl w:ilvl="0">
      <w:lvlJc w:val="left"/>
      <w:lvlText w:val="(%1)"/>
      <w:numFmt w:val="lowerRoman"/>
      <w:start w:val="1"/>
    </w:lvl>
  </w:abstractNum>
  <w:abstractNum w:abstractNumId="30">
    <w:nsid w:val="6CEAF087"/>
    <w:multiLevelType w:val="hybridMultilevel"/>
    <w:lvl w:ilvl="0">
      <w:lvlJc w:val="left"/>
      <w:lvlText w:val="(%1)"/>
      <w:numFmt w:val="lowerLetter"/>
      <w:start w:val="1"/>
    </w:lvl>
  </w:abstractNum>
  <w:abstractNum w:abstractNumId="31">
    <w:nsid w:val="22221A70"/>
    <w:multiLevelType w:val="hybridMultilevel"/>
    <w:lvl w:ilvl="0">
      <w:lvlJc w:val="left"/>
      <w:lvlText w:val="(%1)"/>
      <w:numFmt w:val="lowerLetter"/>
      <w:start w:val="1"/>
    </w:lvl>
  </w:abstractNum>
  <w:abstractNum w:abstractNumId="32">
    <w:nsid w:val="4516DD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2021-07-23T15:10:58Z</dcterms:created>
  <dcterms:modified xsi:type="dcterms:W3CDTF">2021-07-23T15:10:58Z</dcterms:modified>
</cp:coreProperties>
</file>