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Azaria Eynav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KALTURA,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860 BROADWAY,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KALTURA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KLTR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10003</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10,217</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1.404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2,169,080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effectuated pursuant to a Rule 10b5-1 trading plan adopted by the Reporting Person on December 15,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$1.40 to $1.42,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Product, Engineering and Marketing Officer</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Zvi Maayan, Attorney-in-Fact </w:t>
      </w:r>
      <w:r>
        <w:rPr>
          <w:rFonts w:ascii="Times New Roman" w:cs="Times New Roman" w:eastAsia="Times New Roman" w:hAnsi="Times New Roman"/>
          <w:sz w:val="34"/>
          <w:szCs w:val="34"/>
          <w:color w:val="0000FF"/>
          <w:vertAlign w:val="subscript"/>
        </w:rPr>
        <w:t>06/22/2026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Eynav Azaria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57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575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9676" TargetMode="External"/><Relationship Id="rId14" Type="http://schemas.openxmlformats.org/officeDocument/2006/relationships/hyperlink" Target="http://www.sec.gov/cgi-bin/browse-edgar?action=getcompany&amp;CIK=0001432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2026-06-22T10:12:32Z</dcterms:created>
  <dcterms:modified xsi:type="dcterms:W3CDTF">2026-06-22T10:12:32Z</dcterms:modified>
</cp:coreProperties>
</file>